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CF8" w:rsidRDefault="00B17CF8" w:rsidP="004738BA">
      <w:pPr>
        <w:jc w:val="right"/>
        <w:rPr>
          <w:rFonts w:ascii="Calibri" w:eastAsia="Times New Roman" w:hAnsi="Calibri" w:cs="Calibri"/>
          <w:color w:val="7030A0"/>
          <w:sz w:val="36"/>
          <w:szCs w:val="36"/>
          <w:shd w:val="solid" w:color="FFFFFF" w:fill="auto"/>
          <w:lang w:eastAsia="ru-RU"/>
        </w:rPr>
      </w:pPr>
      <w:r w:rsidRPr="004738BA">
        <w:rPr>
          <w:rFonts w:ascii="Calibri" w:eastAsia="Times New Roman" w:hAnsi="Calibri" w:cs="Calibri"/>
          <w:color w:val="7030A0"/>
          <w:sz w:val="36"/>
          <w:szCs w:val="36"/>
          <w:shd w:val="solid" w:color="FFFFFF" w:fill="auto"/>
          <w:lang w:eastAsia="ru-RU"/>
        </w:rPr>
        <w:t>Susceptibility of Boophilus microplus (Canestrini, 1887) (Acari: Ixodidae) to seven ixodicides in Nuevo Leon, Mexico</w:t>
      </w:r>
    </w:p>
    <w:p w:rsidR="00C411F6" w:rsidRPr="004738BA" w:rsidRDefault="004738BA" w:rsidP="008E4DF8">
      <w:pPr>
        <w:spacing w:line="240" w:lineRule="auto"/>
        <w:jc w:val="right"/>
        <w:rPr>
          <w:rStyle w:val="Hipervnculo"/>
          <w:rFonts w:ascii="Calibri" w:eastAsia="Calibri" w:hAnsi="Calibri" w:cs="Calibri"/>
          <w:color w:val="FF0000"/>
          <w:u w:val="none"/>
        </w:rPr>
      </w:pPr>
      <w:r>
        <w:rPr>
          <w:rFonts w:ascii="Calibri" w:eastAsia="Calibri" w:hAnsi="Calibri" w:cs="Calibri"/>
          <w:b/>
          <w:sz w:val="24"/>
          <w:szCs w:val="24"/>
          <w:lang w:val="es-ES"/>
        </w:rPr>
        <w:br/>
      </w:r>
      <w:r w:rsidR="00DB2011" w:rsidRPr="004738BA">
        <w:rPr>
          <w:rFonts w:ascii="Calibri" w:eastAsia="Calibri" w:hAnsi="Calibri" w:cs="Calibri"/>
          <w:b/>
          <w:sz w:val="24"/>
          <w:szCs w:val="24"/>
          <w:lang w:val="es-ES"/>
        </w:rPr>
        <w:t>Jesús A. Esparza Rent</w:t>
      </w:r>
      <w:r w:rsidR="007B3B8C" w:rsidRPr="004738BA">
        <w:rPr>
          <w:rFonts w:ascii="Calibri" w:eastAsia="Calibri" w:hAnsi="Calibri" w:cs="Calibri"/>
          <w:b/>
          <w:sz w:val="24"/>
          <w:szCs w:val="24"/>
          <w:lang w:val="es-ES"/>
        </w:rPr>
        <w:t>e</w:t>
      </w:r>
      <w:r w:rsidR="00DB2011" w:rsidRPr="004738BA">
        <w:rPr>
          <w:rFonts w:ascii="Calibri" w:eastAsia="Calibri" w:hAnsi="Calibri" w:cs="Calibri"/>
          <w:b/>
          <w:sz w:val="24"/>
          <w:szCs w:val="24"/>
          <w:lang w:val="es-ES"/>
        </w:rPr>
        <w:t>r</w:t>
      </w:r>
      <w:r w:rsidR="007B3B8C" w:rsidRPr="004738BA">
        <w:rPr>
          <w:rFonts w:ascii="Calibri" w:eastAsia="Calibri" w:hAnsi="Calibri" w:cs="Calibri"/>
          <w:b/>
          <w:sz w:val="24"/>
          <w:szCs w:val="24"/>
          <w:lang w:val="es-ES"/>
        </w:rPr>
        <w:t>í</w:t>
      </w:r>
      <w:r w:rsidR="00DB2011" w:rsidRPr="004738BA">
        <w:rPr>
          <w:rFonts w:ascii="Calibri" w:eastAsia="Calibri" w:hAnsi="Calibri" w:cs="Calibri"/>
          <w:b/>
          <w:sz w:val="24"/>
          <w:szCs w:val="24"/>
          <w:lang w:val="es-ES"/>
        </w:rPr>
        <w:t>a</w:t>
      </w:r>
      <w:r>
        <w:rPr>
          <w:rFonts w:ascii="Calibri" w:eastAsia="Calibri" w:hAnsi="Calibri" w:cs="Calibri"/>
          <w:b/>
          <w:sz w:val="24"/>
          <w:szCs w:val="24"/>
          <w:lang w:val="es-ES"/>
        </w:rPr>
        <w:br/>
      </w:r>
      <w:r w:rsidRPr="004738BA">
        <w:rPr>
          <w:rFonts w:ascii="Calibri" w:eastAsia="Calibri" w:hAnsi="Calibri" w:cs="Calibri"/>
          <w:sz w:val="24"/>
          <w:szCs w:val="24"/>
          <w:lang w:val="es-ES"/>
        </w:rPr>
        <w:t>Universidad Autónoma de Nuevo León</w:t>
      </w:r>
      <w:r w:rsidR="007B6A3E">
        <w:rPr>
          <w:rFonts w:ascii="Calibri" w:eastAsia="Calibri" w:hAnsi="Calibri" w:cs="Calibri"/>
        </w:rPr>
        <w:t>, México</w:t>
      </w:r>
      <w:r w:rsidRPr="004738BA">
        <w:rPr>
          <w:rFonts w:ascii="Calibri" w:eastAsia="Calibri" w:hAnsi="Calibri" w:cs="Calibri"/>
          <w:sz w:val="24"/>
          <w:szCs w:val="24"/>
          <w:lang w:val="es-ES"/>
        </w:rPr>
        <w:t xml:space="preserve"> </w:t>
      </w:r>
      <w:r>
        <w:rPr>
          <w:rFonts w:ascii="Calibri" w:eastAsia="Calibri" w:hAnsi="Calibri" w:cs="Calibri"/>
          <w:sz w:val="24"/>
          <w:szCs w:val="24"/>
          <w:lang w:val="es-ES"/>
        </w:rPr>
        <w:br/>
      </w:r>
      <w:hyperlink r:id="rId7" w:history="1">
        <w:r w:rsidR="00AF5FBF" w:rsidRPr="004738BA">
          <w:rPr>
            <w:rStyle w:val="Hipervnculo"/>
            <w:rFonts w:ascii="Calibri" w:eastAsia="Calibri" w:hAnsi="Calibri" w:cs="Calibri"/>
            <w:color w:val="FF0000"/>
            <w:sz w:val="24"/>
            <w:u w:val="none"/>
          </w:rPr>
          <w:t>jesparza_renteria@hotmail.com</w:t>
        </w:r>
      </w:hyperlink>
    </w:p>
    <w:p w:rsidR="00DB2011" w:rsidRPr="004738BA" w:rsidRDefault="004738BA" w:rsidP="008E4DF8">
      <w:pPr>
        <w:spacing w:line="240" w:lineRule="auto"/>
        <w:jc w:val="right"/>
        <w:rPr>
          <w:rStyle w:val="Hipervnculo"/>
          <w:rFonts w:ascii="Calibri" w:eastAsia="Calibri" w:hAnsi="Calibri" w:cs="Calibri"/>
          <w:color w:val="FF0000"/>
          <w:sz w:val="24"/>
          <w:u w:val="none"/>
        </w:rPr>
      </w:pPr>
      <w:r>
        <w:rPr>
          <w:rFonts w:ascii="Calibri" w:eastAsia="Calibri" w:hAnsi="Calibri" w:cs="Calibri"/>
          <w:b/>
          <w:sz w:val="24"/>
          <w:szCs w:val="24"/>
          <w:lang w:val="es-ES"/>
        </w:rPr>
        <w:br/>
      </w:r>
      <w:r w:rsidR="00DB2011" w:rsidRPr="004738BA">
        <w:rPr>
          <w:rFonts w:ascii="Calibri" w:eastAsia="Calibri" w:hAnsi="Calibri" w:cs="Calibri"/>
          <w:b/>
          <w:sz w:val="24"/>
          <w:szCs w:val="24"/>
          <w:lang w:val="es-ES"/>
        </w:rPr>
        <w:t xml:space="preserve"> Emily Lizett  Esparza Sevilla</w:t>
      </w:r>
      <w:r>
        <w:rPr>
          <w:rFonts w:ascii="Calibri" w:eastAsia="Calibri" w:hAnsi="Calibri" w:cs="Calibri"/>
          <w:b/>
          <w:sz w:val="24"/>
          <w:szCs w:val="24"/>
          <w:lang w:val="es-ES"/>
        </w:rPr>
        <w:br/>
      </w:r>
      <w:r w:rsidRPr="004738BA">
        <w:rPr>
          <w:rFonts w:ascii="Calibri" w:eastAsia="Calibri" w:hAnsi="Calibri" w:cs="Calibri"/>
          <w:sz w:val="24"/>
          <w:szCs w:val="24"/>
          <w:lang w:val="es-ES"/>
        </w:rPr>
        <w:t>Universidad Autónoma de Nuevo León</w:t>
      </w:r>
      <w:r w:rsidR="007B6A3E">
        <w:rPr>
          <w:rFonts w:ascii="Calibri" w:eastAsia="Calibri" w:hAnsi="Calibri" w:cs="Calibri"/>
        </w:rPr>
        <w:t>, México</w:t>
      </w:r>
      <w:bookmarkStart w:id="0" w:name="_GoBack"/>
      <w:bookmarkEnd w:id="0"/>
      <w:r>
        <w:rPr>
          <w:rFonts w:ascii="Calibri" w:eastAsia="Calibri" w:hAnsi="Calibri" w:cs="Calibri"/>
          <w:sz w:val="24"/>
          <w:szCs w:val="24"/>
          <w:lang w:val="es-ES"/>
        </w:rPr>
        <w:br/>
      </w:r>
      <w:r w:rsidRPr="004738BA">
        <w:rPr>
          <w:rStyle w:val="Hipervnculo"/>
          <w:color w:val="FF0000"/>
          <w:sz w:val="24"/>
          <w:u w:val="none"/>
        </w:rPr>
        <w:t>emily-esparza@hotmail.com</w:t>
      </w:r>
      <w:r w:rsidR="00DB2011" w:rsidRPr="004738BA">
        <w:rPr>
          <w:rStyle w:val="Hipervnculo"/>
          <w:rFonts w:ascii="Calibri" w:eastAsia="Calibri" w:hAnsi="Calibri" w:cs="Calibri"/>
          <w:color w:val="FF0000"/>
          <w:sz w:val="24"/>
          <w:u w:val="none"/>
        </w:rPr>
        <w:t xml:space="preserve">  </w:t>
      </w:r>
    </w:p>
    <w:p w:rsidR="00DB2011" w:rsidRPr="008E4DF8" w:rsidRDefault="00DB2011" w:rsidP="00DB2011">
      <w:pPr>
        <w:spacing w:line="360" w:lineRule="auto"/>
        <w:jc w:val="both"/>
        <w:rPr>
          <w:rFonts w:ascii="Arial" w:hAnsi="Arial" w:cs="Arial"/>
          <w:sz w:val="24"/>
          <w:szCs w:val="24"/>
        </w:rPr>
      </w:pPr>
    </w:p>
    <w:p w:rsidR="00B17CF8" w:rsidRPr="007B6A3E" w:rsidRDefault="004738BA" w:rsidP="00B17CF8">
      <w:pPr>
        <w:spacing w:line="360" w:lineRule="auto"/>
        <w:jc w:val="both"/>
        <w:rPr>
          <w:rFonts w:ascii="Calibri" w:eastAsia="Times New Roman" w:hAnsi="Calibri" w:cs="Calibri"/>
          <w:color w:val="7030A0"/>
          <w:sz w:val="28"/>
          <w:szCs w:val="28"/>
          <w:lang w:val="en-US" w:eastAsia="es-ES"/>
        </w:rPr>
      </w:pPr>
      <w:r w:rsidRPr="007B6A3E">
        <w:rPr>
          <w:rFonts w:ascii="Calibri" w:eastAsia="Times New Roman" w:hAnsi="Calibri" w:cs="Calibri"/>
          <w:color w:val="7030A0"/>
          <w:sz w:val="28"/>
          <w:szCs w:val="28"/>
          <w:lang w:val="en-US" w:eastAsia="es-ES"/>
        </w:rPr>
        <w:t>Abstract</w:t>
      </w:r>
    </w:p>
    <w:p w:rsidR="004738BA" w:rsidRPr="004738BA" w:rsidRDefault="004738BA" w:rsidP="004738BA">
      <w:pPr>
        <w:spacing w:line="360" w:lineRule="auto"/>
        <w:jc w:val="both"/>
        <w:rPr>
          <w:rFonts w:ascii="Times New Roman" w:hAnsi="Times New Roman" w:cs="Times New Roman"/>
          <w:sz w:val="24"/>
          <w:szCs w:val="24"/>
          <w:lang w:val="en-US"/>
        </w:rPr>
      </w:pPr>
      <w:r w:rsidRPr="004738BA">
        <w:rPr>
          <w:rFonts w:ascii="Times New Roman" w:hAnsi="Times New Roman" w:cs="Times New Roman"/>
          <w:sz w:val="24"/>
          <w:szCs w:val="24"/>
          <w:lang w:val="en-US"/>
        </w:rPr>
        <w:t>This article reports the results of research only. Mention of a proprietary product does not constitute an endorsement or a recommendation by the FAUANL for its use</w:t>
      </w:r>
    </w:p>
    <w:p w:rsidR="00B17CF8" w:rsidRPr="004738BA" w:rsidRDefault="00B17CF8" w:rsidP="004738BA">
      <w:pPr>
        <w:spacing w:line="360" w:lineRule="auto"/>
        <w:jc w:val="both"/>
        <w:rPr>
          <w:rFonts w:ascii="Times New Roman" w:hAnsi="Times New Roman" w:cs="Times New Roman"/>
          <w:sz w:val="24"/>
          <w:szCs w:val="24"/>
          <w:lang w:val="en-US"/>
        </w:rPr>
      </w:pPr>
      <w:r w:rsidRPr="004738BA">
        <w:rPr>
          <w:rFonts w:ascii="Times New Roman" w:hAnsi="Times New Roman" w:cs="Times New Roman"/>
          <w:sz w:val="24"/>
          <w:szCs w:val="24"/>
          <w:lang w:val="en-US"/>
        </w:rPr>
        <w:t xml:space="preserve">Animal husbandry and meat industry in Mexico are one of the principal activities of the agricultural sector of the country, which are threatened by factors that affect the production of meat, skin and milk; among these, the damages caused by </w:t>
      </w:r>
      <w:r w:rsidRPr="004738BA">
        <w:rPr>
          <w:rFonts w:ascii="Times New Roman" w:hAnsi="Times New Roman" w:cs="Times New Roman"/>
          <w:i/>
          <w:sz w:val="24"/>
          <w:szCs w:val="24"/>
          <w:lang w:val="en-US"/>
        </w:rPr>
        <w:t>Boophilus microplus</w:t>
      </w:r>
      <w:r w:rsidRPr="004738BA">
        <w:rPr>
          <w:rFonts w:ascii="Times New Roman" w:hAnsi="Times New Roman" w:cs="Times New Roman"/>
          <w:sz w:val="24"/>
          <w:szCs w:val="24"/>
          <w:lang w:val="en-US"/>
        </w:rPr>
        <w:t xml:space="preserve"> (Canestrini), the common tick of cattle, and the diseases it transmits, such as anaplasmosis and babesiosis (Xianxun and Wenshun, 1997; Yeruhan et al., 1998), are of special interest. The objective of this study was to determine the susceptibility of the larvae of </w:t>
      </w:r>
      <w:r w:rsidRPr="004738BA">
        <w:rPr>
          <w:rFonts w:ascii="Times New Roman" w:hAnsi="Times New Roman" w:cs="Times New Roman"/>
          <w:i/>
          <w:sz w:val="24"/>
          <w:szCs w:val="24"/>
          <w:lang w:val="en-US"/>
        </w:rPr>
        <w:t>Boophilus microplus</w:t>
      </w:r>
      <w:r w:rsidRPr="004738BA">
        <w:rPr>
          <w:rFonts w:ascii="Times New Roman" w:hAnsi="Times New Roman" w:cs="Times New Roman"/>
          <w:sz w:val="24"/>
          <w:szCs w:val="24"/>
          <w:lang w:val="en-US"/>
        </w:rPr>
        <w:t xml:space="preserve"> to seven tick-killing agents commonly used in the state of Nuevo Leon. </w:t>
      </w:r>
      <w:r w:rsidR="008C0FF8" w:rsidRPr="004738BA">
        <w:rPr>
          <w:rFonts w:ascii="Times New Roman" w:hAnsi="Times New Roman" w:cs="Times New Roman"/>
          <w:sz w:val="24"/>
          <w:szCs w:val="24"/>
          <w:lang w:val="en-US"/>
        </w:rPr>
        <w:t xml:space="preserve">The methodology used for the diagnosis of the susceptibility of </w:t>
      </w:r>
      <w:r w:rsidR="008C0FF8" w:rsidRPr="004738BA">
        <w:rPr>
          <w:rFonts w:ascii="Times New Roman" w:hAnsi="Times New Roman" w:cs="Times New Roman"/>
          <w:i/>
          <w:sz w:val="24"/>
          <w:szCs w:val="24"/>
          <w:lang w:val="en-US"/>
        </w:rPr>
        <w:t>B. microplu</w:t>
      </w:r>
      <w:r w:rsidR="00F85506" w:rsidRPr="004738BA">
        <w:rPr>
          <w:rFonts w:ascii="Times New Roman" w:hAnsi="Times New Roman" w:cs="Times New Roman"/>
          <w:i/>
          <w:sz w:val="24"/>
          <w:szCs w:val="24"/>
          <w:lang w:val="en-US"/>
        </w:rPr>
        <w:t>s</w:t>
      </w:r>
      <w:r w:rsidR="008C0FF8" w:rsidRPr="004738BA">
        <w:rPr>
          <w:rFonts w:ascii="Times New Roman" w:hAnsi="Times New Roman" w:cs="Times New Roman"/>
          <w:sz w:val="24"/>
          <w:szCs w:val="24"/>
          <w:lang w:val="en-US"/>
        </w:rPr>
        <w:t xml:space="preserve"> tick to Organochlorine, Organophosphorate and Pyrethroid compounds was the one applied by </w:t>
      </w:r>
      <w:r w:rsidR="000E65F3" w:rsidRPr="004738BA">
        <w:rPr>
          <w:rFonts w:ascii="Times New Roman" w:hAnsi="Times New Roman" w:cs="Times New Roman"/>
          <w:sz w:val="24"/>
          <w:szCs w:val="24"/>
          <w:lang w:val="en-US"/>
        </w:rPr>
        <w:t xml:space="preserve">Rodriguez-Vivas et al., (2007); in which it was used a discriminant dose </w:t>
      </w:r>
      <w:r w:rsidR="009B0CAA" w:rsidRPr="004738BA">
        <w:rPr>
          <w:rFonts w:ascii="Times New Roman" w:hAnsi="Times New Roman" w:cs="Times New Roman"/>
          <w:sz w:val="24"/>
          <w:szCs w:val="24"/>
          <w:lang w:val="en-US"/>
        </w:rPr>
        <w:t>(</w:t>
      </w:r>
      <w:r w:rsidR="007300CF" w:rsidRPr="004738BA">
        <w:rPr>
          <w:rFonts w:ascii="Times New Roman" w:hAnsi="Times New Roman" w:cs="Times New Roman"/>
          <w:sz w:val="24"/>
          <w:szCs w:val="24"/>
          <w:lang w:val="en-US"/>
        </w:rPr>
        <w:t>t</w:t>
      </w:r>
      <w:r w:rsidR="009B0CAA" w:rsidRPr="004738BA">
        <w:rPr>
          <w:rFonts w:ascii="Times New Roman" w:hAnsi="Times New Roman" w:cs="Times New Roman"/>
          <w:sz w:val="24"/>
          <w:szCs w:val="24"/>
          <w:lang w:val="en-US"/>
        </w:rPr>
        <w:t xml:space="preserve">able 1), using the larvae package test technique (Stone </w:t>
      </w:r>
      <w:r w:rsidR="007300CF" w:rsidRPr="004738BA">
        <w:rPr>
          <w:rFonts w:ascii="Times New Roman" w:hAnsi="Times New Roman" w:cs="Times New Roman"/>
          <w:sz w:val="24"/>
          <w:szCs w:val="24"/>
          <w:lang w:val="en-US"/>
        </w:rPr>
        <w:t>&amp;</w:t>
      </w:r>
      <w:r w:rsidR="009B0CAA" w:rsidRPr="004738BA">
        <w:rPr>
          <w:rFonts w:ascii="Times New Roman" w:hAnsi="Times New Roman" w:cs="Times New Roman"/>
          <w:sz w:val="24"/>
          <w:szCs w:val="24"/>
          <w:lang w:val="en-US"/>
        </w:rPr>
        <w:t xml:space="preserve"> Haydock, 1962). The results of the CL</w:t>
      </w:r>
      <w:r w:rsidR="009B0CAA" w:rsidRPr="004738BA">
        <w:rPr>
          <w:rFonts w:ascii="Times New Roman" w:hAnsi="Times New Roman" w:cs="Times New Roman"/>
          <w:sz w:val="24"/>
          <w:szCs w:val="24"/>
          <w:vertAlign w:val="subscript"/>
          <w:lang w:val="en-US"/>
        </w:rPr>
        <w:t>50</w:t>
      </w:r>
      <w:r w:rsidR="009B0CAA" w:rsidRPr="004738BA">
        <w:rPr>
          <w:rFonts w:ascii="Times New Roman" w:hAnsi="Times New Roman" w:cs="Times New Roman"/>
          <w:sz w:val="24"/>
          <w:szCs w:val="24"/>
          <w:lang w:val="en-US"/>
        </w:rPr>
        <w:t xml:space="preserve"> to the ticks of cattle in the state of Nuevo Leon, Mexico showed a greater susceptibility to Deltamethrine, followed by Chlorfenvinphos; in third p</w:t>
      </w:r>
      <w:r w:rsidR="00D64DCF" w:rsidRPr="004738BA">
        <w:rPr>
          <w:rFonts w:ascii="Times New Roman" w:hAnsi="Times New Roman" w:cs="Times New Roman"/>
          <w:sz w:val="24"/>
          <w:szCs w:val="24"/>
          <w:lang w:val="en-US"/>
        </w:rPr>
        <w:t xml:space="preserve">lace Diazinon, then Flumethrin; after that Cypermethrin, in sixth place Lindane and a less toxicological action for the Coumaphos (Asuntol). The result was already expected due to the fact that it is the most commonly used product in the control of ticks through the </w:t>
      </w:r>
      <w:r w:rsidR="00137201" w:rsidRPr="004738BA">
        <w:rPr>
          <w:rFonts w:ascii="Times New Roman" w:hAnsi="Times New Roman" w:cs="Times New Roman"/>
          <w:sz w:val="24"/>
          <w:szCs w:val="24"/>
          <w:lang w:val="en-US"/>
        </w:rPr>
        <w:t xml:space="preserve">larval immersion technique. The </w:t>
      </w:r>
      <w:r w:rsidR="00137201" w:rsidRPr="004738BA">
        <w:rPr>
          <w:rFonts w:ascii="Times New Roman" w:hAnsi="Times New Roman" w:cs="Times New Roman"/>
          <w:sz w:val="24"/>
          <w:szCs w:val="24"/>
          <w:lang w:val="en-US"/>
        </w:rPr>
        <w:lastRenderedPageBreak/>
        <w:t xml:space="preserve">Asuntol was used in the strain of El Bisonte Ranch of Montemorelos, Nuevo Leon, which is a homogeneous population and with certain short-time pressure could become resistant ticks. </w:t>
      </w:r>
    </w:p>
    <w:p w:rsidR="00DB2011" w:rsidRDefault="004738BA" w:rsidP="00DB2011">
      <w:pPr>
        <w:spacing w:line="360" w:lineRule="auto"/>
        <w:jc w:val="both"/>
        <w:rPr>
          <w:rFonts w:ascii="Arial" w:hAnsi="Arial" w:cs="Arial"/>
          <w:sz w:val="24"/>
          <w:szCs w:val="24"/>
          <w:lang w:val="en-US"/>
        </w:rPr>
      </w:pPr>
      <w:r w:rsidRPr="007B6A3E">
        <w:rPr>
          <w:rFonts w:ascii="Calibri" w:eastAsia="Times New Roman" w:hAnsi="Calibri" w:cs="Calibri"/>
          <w:color w:val="7030A0"/>
          <w:sz w:val="28"/>
          <w:szCs w:val="28"/>
          <w:lang w:val="en-US" w:eastAsia="es-ES"/>
        </w:rPr>
        <w:t>key words:</w:t>
      </w:r>
      <w:r w:rsidRPr="008E4DF8">
        <w:rPr>
          <w:rFonts w:ascii="Arial" w:hAnsi="Arial" w:cs="Arial"/>
          <w:sz w:val="24"/>
          <w:szCs w:val="24"/>
          <w:lang w:val="en-US"/>
        </w:rPr>
        <w:t xml:space="preserve"> </w:t>
      </w:r>
      <w:r w:rsidR="005641CE" w:rsidRPr="004738BA">
        <w:rPr>
          <w:rFonts w:ascii="Times New Roman" w:hAnsi="Times New Roman" w:cs="Times New Roman"/>
          <w:sz w:val="24"/>
          <w:szCs w:val="24"/>
          <w:lang w:val="en-US"/>
        </w:rPr>
        <w:t>Rhipicephalus (Boophilus) microplus tick is susceptible to pesticides in the state of Nuevo Leon, Mexico</w:t>
      </w:r>
      <w:r w:rsidR="001950AA" w:rsidRPr="004738BA">
        <w:rPr>
          <w:rFonts w:ascii="Times New Roman" w:hAnsi="Times New Roman" w:cs="Times New Roman"/>
          <w:sz w:val="24"/>
          <w:szCs w:val="24"/>
          <w:lang w:val="en-US"/>
        </w:rPr>
        <w:t>.</w:t>
      </w:r>
    </w:p>
    <w:p w:rsidR="00E25418" w:rsidRDefault="00E25418" w:rsidP="00E25418">
      <w:pPr>
        <w:tabs>
          <w:tab w:val="left" w:pos="1985"/>
        </w:tabs>
        <w:spacing w:line="360" w:lineRule="auto"/>
        <w:ind w:right="-427"/>
        <w:jc w:val="both"/>
        <w:rPr>
          <w:rFonts w:cstheme="minorHAnsi"/>
        </w:rPr>
      </w:pPr>
      <w:r w:rsidRPr="00E25418">
        <w:rPr>
          <w:b/>
          <w:sz w:val="24"/>
        </w:rPr>
        <w:t>Fecha recepción</w:t>
      </w:r>
      <w:r>
        <w:rPr>
          <w:b/>
        </w:rPr>
        <w:t>:</w:t>
      </w:r>
      <w:r>
        <w:t xml:space="preserve"> Enero 2015                                                  </w:t>
      </w:r>
      <w:r w:rsidRPr="00E25418">
        <w:rPr>
          <w:b/>
          <w:sz w:val="24"/>
        </w:rPr>
        <w:t>Fecha aceptación</w:t>
      </w:r>
      <w:r>
        <w:rPr>
          <w:b/>
        </w:rPr>
        <w:t>:</w:t>
      </w:r>
      <w:r>
        <w:t xml:space="preserve"> Julio 2015</w:t>
      </w:r>
    </w:p>
    <w:p w:rsidR="00E25418" w:rsidRDefault="00D31629" w:rsidP="00E25418">
      <w:pPr>
        <w:tabs>
          <w:tab w:val="left" w:pos="1985"/>
        </w:tabs>
        <w:spacing w:line="360" w:lineRule="auto"/>
        <w:jc w:val="center"/>
        <w:rPr>
          <w:rFonts w:cstheme="minorHAnsi"/>
        </w:rPr>
      </w:pPr>
      <w:r>
        <w:rPr>
          <w:rFonts w:cstheme="minorHAnsi"/>
        </w:rPr>
        <w:pict>
          <v:rect id="_x0000_i1025" style="width:441.9pt;height:1.5pt" o:hralign="center" o:hrstd="t" o:hr="t" fillcolor="#a0a0a0" stroked="f"/>
        </w:pict>
      </w:r>
    </w:p>
    <w:p w:rsidR="004738BA" w:rsidRPr="007B6A3E" w:rsidRDefault="004738BA" w:rsidP="00DB2011">
      <w:pPr>
        <w:spacing w:line="360" w:lineRule="auto"/>
        <w:jc w:val="both"/>
        <w:rPr>
          <w:rFonts w:ascii="Calibri" w:eastAsia="Times New Roman" w:hAnsi="Calibri" w:cs="Calibri"/>
          <w:color w:val="7030A0"/>
          <w:sz w:val="28"/>
          <w:szCs w:val="28"/>
          <w:lang w:val="en-US" w:eastAsia="es-ES"/>
        </w:rPr>
      </w:pPr>
      <w:r w:rsidRPr="007B6A3E">
        <w:rPr>
          <w:rFonts w:ascii="Calibri" w:eastAsia="Times New Roman" w:hAnsi="Calibri" w:cs="Calibri"/>
          <w:color w:val="7030A0"/>
          <w:sz w:val="28"/>
          <w:szCs w:val="28"/>
          <w:lang w:val="en-US" w:eastAsia="es-ES"/>
        </w:rPr>
        <w:t>Introduction</w:t>
      </w:r>
    </w:p>
    <w:p w:rsidR="00D74FB1" w:rsidRPr="004738BA" w:rsidRDefault="00032D8A" w:rsidP="004738BA">
      <w:pPr>
        <w:spacing w:line="360" w:lineRule="auto"/>
        <w:jc w:val="both"/>
        <w:rPr>
          <w:rFonts w:ascii="Times New Roman" w:hAnsi="Times New Roman" w:cs="Times New Roman"/>
          <w:sz w:val="24"/>
          <w:szCs w:val="24"/>
          <w:lang w:val="en-US"/>
        </w:rPr>
      </w:pPr>
      <w:r w:rsidRPr="004738BA">
        <w:rPr>
          <w:rFonts w:ascii="Times New Roman" w:hAnsi="Times New Roman" w:cs="Times New Roman"/>
          <w:i/>
          <w:sz w:val="24"/>
          <w:szCs w:val="24"/>
          <w:lang w:val="en-US"/>
        </w:rPr>
        <w:t>Boophilus microplus</w:t>
      </w:r>
      <w:r w:rsidRPr="004738BA">
        <w:rPr>
          <w:rFonts w:ascii="Times New Roman" w:hAnsi="Times New Roman" w:cs="Times New Roman"/>
          <w:sz w:val="24"/>
          <w:szCs w:val="24"/>
          <w:lang w:val="en-US"/>
        </w:rPr>
        <w:t xml:space="preserve"> tick</w:t>
      </w:r>
      <w:r w:rsidR="001950AA" w:rsidRPr="004738BA">
        <w:rPr>
          <w:rFonts w:ascii="Times New Roman" w:hAnsi="Times New Roman" w:cs="Times New Roman"/>
          <w:sz w:val="24"/>
          <w:szCs w:val="24"/>
          <w:lang w:val="en-US"/>
        </w:rPr>
        <w:t>s are one of</w:t>
      </w:r>
      <w:r w:rsidRPr="004738BA">
        <w:rPr>
          <w:rFonts w:ascii="Times New Roman" w:hAnsi="Times New Roman" w:cs="Times New Roman"/>
          <w:sz w:val="24"/>
          <w:szCs w:val="24"/>
          <w:lang w:val="en-US"/>
        </w:rPr>
        <w:t xml:space="preserve"> the most important hematophagous ectoparasites that exist in cattle (Guglielmone et al., 2004; Guglielmone et al., 2003; Hernandez, 2005). Not only for the direct damages they cause by feeding themselves but for the transmission of pathogens such as anaplasmosis and babesiosis (Guglielmone et al., 2004; Guglielmone et al., 2003), the production of milk, meat and skin is affected indirectly (Bock et al., </w:t>
      </w:r>
      <w:r w:rsidR="001C3CE7" w:rsidRPr="004738BA">
        <w:rPr>
          <w:rFonts w:ascii="Times New Roman" w:hAnsi="Times New Roman" w:cs="Times New Roman"/>
          <w:sz w:val="24"/>
          <w:szCs w:val="24"/>
          <w:lang w:val="en-US"/>
        </w:rPr>
        <w:t xml:space="preserve">2008; FAO, 1984; Kocan et al., 2008; Lopez </w:t>
      </w:r>
      <w:r w:rsidR="006C7937" w:rsidRPr="004738BA">
        <w:rPr>
          <w:rFonts w:ascii="Times New Roman" w:hAnsi="Times New Roman" w:cs="Times New Roman"/>
          <w:sz w:val="24"/>
          <w:szCs w:val="24"/>
          <w:lang w:val="en-US"/>
        </w:rPr>
        <w:t>&amp;</w:t>
      </w:r>
      <w:r w:rsidR="001C3CE7" w:rsidRPr="004738BA">
        <w:rPr>
          <w:rFonts w:ascii="Times New Roman" w:hAnsi="Times New Roman" w:cs="Times New Roman"/>
          <w:sz w:val="24"/>
          <w:szCs w:val="24"/>
          <w:lang w:val="en-US"/>
        </w:rPr>
        <w:t xml:space="preserve"> Vizcaino, 1992).</w:t>
      </w:r>
    </w:p>
    <w:p w:rsidR="001C3CE7" w:rsidRDefault="001C3CE7" w:rsidP="004738BA">
      <w:pPr>
        <w:spacing w:line="360" w:lineRule="auto"/>
        <w:jc w:val="both"/>
        <w:rPr>
          <w:rFonts w:ascii="Times New Roman" w:hAnsi="Times New Roman" w:cs="Times New Roman"/>
          <w:sz w:val="24"/>
          <w:szCs w:val="24"/>
          <w:lang w:val="en-US"/>
        </w:rPr>
      </w:pPr>
      <w:r w:rsidRPr="004738BA">
        <w:rPr>
          <w:rFonts w:ascii="Times New Roman" w:hAnsi="Times New Roman" w:cs="Times New Roman"/>
          <w:i/>
          <w:sz w:val="24"/>
          <w:szCs w:val="24"/>
          <w:lang w:val="en-US"/>
        </w:rPr>
        <w:t>B. microplus</w:t>
      </w:r>
      <w:r w:rsidRPr="004738BA">
        <w:rPr>
          <w:rFonts w:ascii="Times New Roman" w:hAnsi="Times New Roman" w:cs="Times New Roman"/>
          <w:sz w:val="24"/>
          <w:szCs w:val="24"/>
          <w:lang w:val="en-US"/>
        </w:rPr>
        <w:t xml:space="preserve"> is distributed in America, causing significant annual economic losses in cattle (Benavides, 2001; Lopez, 1990; Späth et al</w:t>
      </w:r>
      <w:r w:rsidR="00AA2DE2" w:rsidRPr="004738BA">
        <w:rPr>
          <w:rFonts w:ascii="Times New Roman" w:hAnsi="Times New Roman" w:cs="Times New Roman"/>
          <w:sz w:val="24"/>
          <w:szCs w:val="24"/>
          <w:lang w:val="en-US"/>
        </w:rPr>
        <w:t>., 1994</w:t>
      </w:r>
      <w:r w:rsidRPr="004738BA">
        <w:rPr>
          <w:rFonts w:ascii="Times New Roman" w:hAnsi="Times New Roman" w:cs="Times New Roman"/>
          <w:sz w:val="24"/>
          <w:szCs w:val="24"/>
          <w:lang w:val="en-US"/>
        </w:rPr>
        <w:t>; Späth et al., 1994</w:t>
      </w:r>
      <w:r w:rsidR="00AA2DE2" w:rsidRPr="004738BA">
        <w:rPr>
          <w:rFonts w:ascii="Times New Roman" w:hAnsi="Times New Roman" w:cs="Times New Roman"/>
          <w:sz w:val="24"/>
          <w:szCs w:val="24"/>
          <w:lang w:val="en-US"/>
        </w:rPr>
        <w:t>a</w:t>
      </w:r>
      <w:r w:rsidRPr="004738BA">
        <w:rPr>
          <w:rFonts w:ascii="Times New Roman" w:hAnsi="Times New Roman" w:cs="Times New Roman"/>
          <w:sz w:val="24"/>
          <w:szCs w:val="24"/>
          <w:lang w:val="en-US"/>
        </w:rPr>
        <w:t xml:space="preserve">). In Mexico it was estimated that ticks and illnesses transmitted by them produced losses of approximately 48 million dollars annually. Because of this the use of acaricides was intensified, resulting in the emergence of tick’s resistance to synthetic chemical products like pyrethroids and organophosphorates (Fragoso </w:t>
      </w:r>
      <w:r w:rsidR="0062422B" w:rsidRPr="004738BA">
        <w:rPr>
          <w:rFonts w:ascii="Times New Roman" w:hAnsi="Times New Roman" w:cs="Times New Roman"/>
          <w:sz w:val="24"/>
          <w:szCs w:val="24"/>
          <w:lang w:val="en-US"/>
        </w:rPr>
        <w:t>&amp;</w:t>
      </w:r>
      <w:r w:rsidRPr="004738BA">
        <w:rPr>
          <w:rFonts w:ascii="Times New Roman" w:hAnsi="Times New Roman" w:cs="Times New Roman"/>
          <w:sz w:val="24"/>
          <w:szCs w:val="24"/>
          <w:lang w:val="en-US"/>
        </w:rPr>
        <w:t xml:space="preserve"> Soberanes, 2001; SAGARPA, 2006). In the state of Nuevo Leon there are no recent studies that allow us to know the </w:t>
      </w:r>
      <w:r w:rsidR="00F24DA9" w:rsidRPr="004738BA">
        <w:rPr>
          <w:rFonts w:ascii="Times New Roman" w:hAnsi="Times New Roman" w:cs="Times New Roman"/>
          <w:sz w:val="24"/>
          <w:szCs w:val="24"/>
          <w:lang w:val="en-US"/>
        </w:rPr>
        <w:t>condition</w:t>
      </w:r>
      <w:r w:rsidRPr="004738BA">
        <w:rPr>
          <w:rFonts w:ascii="Times New Roman" w:hAnsi="Times New Roman" w:cs="Times New Roman"/>
          <w:sz w:val="24"/>
          <w:szCs w:val="24"/>
          <w:lang w:val="en-US"/>
        </w:rPr>
        <w:t xml:space="preserve"> of susceptibility to chemical products used for the control of ticks; because of this, the objective of this investigation is to determine the </w:t>
      </w:r>
      <w:r w:rsidR="00F24DA9" w:rsidRPr="004738BA">
        <w:rPr>
          <w:rFonts w:ascii="Times New Roman" w:hAnsi="Times New Roman" w:cs="Times New Roman"/>
          <w:sz w:val="24"/>
          <w:szCs w:val="24"/>
          <w:lang w:val="en-US"/>
        </w:rPr>
        <w:t xml:space="preserve">demographic </w:t>
      </w:r>
      <w:r w:rsidRPr="004738BA">
        <w:rPr>
          <w:rFonts w:ascii="Times New Roman" w:hAnsi="Times New Roman" w:cs="Times New Roman"/>
          <w:sz w:val="24"/>
          <w:szCs w:val="24"/>
          <w:lang w:val="en-US"/>
        </w:rPr>
        <w:t>fluctuatio</w:t>
      </w:r>
      <w:r w:rsidR="00F24DA9" w:rsidRPr="004738BA">
        <w:rPr>
          <w:rFonts w:ascii="Times New Roman" w:hAnsi="Times New Roman" w:cs="Times New Roman"/>
          <w:sz w:val="24"/>
          <w:szCs w:val="24"/>
          <w:lang w:val="en-US"/>
        </w:rPr>
        <w:t xml:space="preserve">n of ticks associated to cattle in their different types of use. Besides, to know the condition of susceptibility of </w:t>
      </w:r>
      <w:r w:rsidR="00F24DA9" w:rsidRPr="004738BA">
        <w:rPr>
          <w:rFonts w:ascii="Times New Roman" w:hAnsi="Times New Roman" w:cs="Times New Roman"/>
          <w:i/>
          <w:sz w:val="24"/>
          <w:szCs w:val="24"/>
          <w:lang w:val="en-US"/>
        </w:rPr>
        <w:t>Boophilus microplus</w:t>
      </w:r>
      <w:r w:rsidR="00F24DA9" w:rsidRPr="004738BA">
        <w:rPr>
          <w:rFonts w:ascii="Times New Roman" w:hAnsi="Times New Roman" w:cs="Times New Roman"/>
          <w:sz w:val="24"/>
          <w:szCs w:val="24"/>
          <w:lang w:val="en-US"/>
        </w:rPr>
        <w:t xml:space="preserve"> (Acari: Ixodidae) to the tick-killing agents commonly used in the state of Nuevo Leon. </w:t>
      </w:r>
    </w:p>
    <w:p w:rsidR="004738BA" w:rsidRPr="004738BA" w:rsidRDefault="004738BA" w:rsidP="004738BA">
      <w:pPr>
        <w:spacing w:line="360" w:lineRule="auto"/>
        <w:jc w:val="both"/>
        <w:rPr>
          <w:rFonts w:ascii="Times New Roman" w:hAnsi="Times New Roman" w:cs="Times New Roman"/>
          <w:sz w:val="24"/>
          <w:szCs w:val="24"/>
          <w:lang w:val="en-US"/>
        </w:rPr>
      </w:pPr>
    </w:p>
    <w:p w:rsidR="00F24DA9" w:rsidRPr="004738BA" w:rsidRDefault="00F24DA9" w:rsidP="004738BA">
      <w:pPr>
        <w:spacing w:line="360" w:lineRule="auto"/>
        <w:jc w:val="both"/>
        <w:rPr>
          <w:rFonts w:ascii="Times New Roman" w:hAnsi="Times New Roman" w:cs="Times New Roman"/>
          <w:b/>
          <w:sz w:val="24"/>
          <w:szCs w:val="24"/>
          <w:lang w:val="en-US"/>
        </w:rPr>
      </w:pPr>
      <w:r w:rsidRPr="004738BA">
        <w:rPr>
          <w:rFonts w:ascii="Times New Roman" w:hAnsi="Times New Roman" w:cs="Times New Roman"/>
          <w:b/>
          <w:sz w:val="24"/>
          <w:szCs w:val="24"/>
          <w:lang w:val="en-US"/>
        </w:rPr>
        <w:lastRenderedPageBreak/>
        <w:t>Materials and Methods</w:t>
      </w:r>
    </w:p>
    <w:p w:rsidR="00F24DA9" w:rsidRPr="004738BA" w:rsidRDefault="00F24DA9" w:rsidP="004738BA">
      <w:pPr>
        <w:spacing w:line="360" w:lineRule="auto"/>
        <w:jc w:val="both"/>
        <w:rPr>
          <w:rFonts w:ascii="Times New Roman" w:hAnsi="Times New Roman" w:cs="Times New Roman"/>
          <w:sz w:val="24"/>
          <w:szCs w:val="24"/>
          <w:lang w:val="en-US"/>
        </w:rPr>
      </w:pPr>
      <w:r w:rsidRPr="004738BA">
        <w:rPr>
          <w:rFonts w:ascii="Times New Roman" w:hAnsi="Times New Roman" w:cs="Times New Roman"/>
          <w:sz w:val="24"/>
          <w:szCs w:val="24"/>
          <w:lang w:val="en-US"/>
        </w:rPr>
        <w:t xml:space="preserve">The samples </w:t>
      </w:r>
      <w:r w:rsidR="00CB2393" w:rsidRPr="004738BA">
        <w:rPr>
          <w:rFonts w:ascii="Times New Roman" w:hAnsi="Times New Roman" w:cs="Times New Roman"/>
          <w:sz w:val="24"/>
          <w:szCs w:val="24"/>
          <w:lang w:val="en-US"/>
        </w:rPr>
        <w:t xml:space="preserve">of cattle tick </w:t>
      </w:r>
      <w:r w:rsidR="00CB2393" w:rsidRPr="004738BA">
        <w:rPr>
          <w:rFonts w:ascii="Times New Roman" w:hAnsi="Times New Roman" w:cs="Times New Roman"/>
          <w:i/>
          <w:sz w:val="24"/>
          <w:szCs w:val="24"/>
          <w:lang w:val="en-US"/>
        </w:rPr>
        <w:t>B. microplus</w:t>
      </w:r>
      <w:r w:rsidR="00CB2393" w:rsidRPr="004738BA">
        <w:rPr>
          <w:rFonts w:ascii="Times New Roman" w:hAnsi="Times New Roman" w:cs="Times New Roman"/>
          <w:sz w:val="24"/>
          <w:szCs w:val="24"/>
          <w:lang w:val="en-US"/>
        </w:rPr>
        <w:t xml:space="preserve"> were obtained from five cattle ranches in the state of Nuevo Leon (Terrabel, Bisonte, El Pajaro, Valle Escondido and 14 de Mayo) because of the concern of the cattle ranchers that these ectoparasites presented resistance to the products used in their control. In the collection, the procedure used by Bennett (1975) and Hernandez (1978) was used, in which </w:t>
      </w:r>
      <w:r w:rsidR="00A979FC" w:rsidRPr="004738BA">
        <w:rPr>
          <w:rFonts w:ascii="Times New Roman" w:hAnsi="Times New Roman" w:cs="Times New Roman"/>
          <w:sz w:val="24"/>
          <w:szCs w:val="24"/>
          <w:lang w:val="en-US"/>
        </w:rPr>
        <w:t>we passed our hand softly over the different regions of the body of the host where usually these parasites are located: mammary regions, back legs, haunches, flanks, abdomen</w:t>
      </w:r>
      <w:r w:rsidR="00EB61C3" w:rsidRPr="004738BA">
        <w:rPr>
          <w:rFonts w:ascii="Times New Roman" w:hAnsi="Times New Roman" w:cs="Times New Roman"/>
          <w:sz w:val="24"/>
          <w:szCs w:val="24"/>
          <w:lang w:val="en-US"/>
        </w:rPr>
        <w:t xml:space="preserve">, ribs, and front legs including armpits, neck and four fronts, jowl and head. </w:t>
      </w:r>
    </w:p>
    <w:p w:rsidR="00EB61C3" w:rsidRPr="004738BA" w:rsidRDefault="00EB61C3" w:rsidP="004738BA">
      <w:pPr>
        <w:spacing w:line="360" w:lineRule="auto"/>
        <w:jc w:val="both"/>
        <w:rPr>
          <w:rFonts w:ascii="Times New Roman" w:hAnsi="Times New Roman" w:cs="Times New Roman"/>
          <w:sz w:val="24"/>
          <w:szCs w:val="24"/>
          <w:lang w:val="en-US"/>
        </w:rPr>
      </w:pPr>
      <w:r w:rsidRPr="004738BA">
        <w:rPr>
          <w:rFonts w:ascii="Times New Roman" w:hAnsi="Times New Roman" w:cs="Times New Roman"/>
          <w:sz w:val="24"/>
          <w:szCs w:val="24"/>
          <w:lang w:val="en-US"/>
        </w:rPr>
        <w:t xml:space="preserve">We placed 10 gravid ticks in a Petri dish </w:t>
      </w:r>
      <w:r w:rsidR="00A15A26" w:rsidRPr="004738BA">
        <w:rPr>
          <w:rFonts w:ascii="Times New Roman" w:hAnsi="Times New Roman" w:cs="Times New Roman"/>
          <w:sz w:val="24"/>
          <w:szCs w:val="24"/>
          <w:lang w:val="en-US"/>
        </w:rPr>
        <w:t>in the incubation stove in darkness at a temperature of 28 ± 2° C, with a relative humidity of 80 to 90</w:t>
      </w:r>
      <w:r w:rsidR="000F2AD3" w:rsidRPr="004738BA">
        <w:rPr>
          <w:rFonts w:ascii="Times New Roman" w:hAnsi="Times New Roman" w:cs="Times New Roman"/>
          <w:sz w:val="24"/>
          <w:szCs w:val="24"/>
          <w:lang w:val="en-US"/>
        </w:rPr>
        <w:t xml:space="preserve"> </w:t>
      </w:r>
      <w:r w:rsidR="00A15A26" w:rsidRPr="004738BA">
        <w:rPr>
          <w:rFonts w:ascii="Times New Roman" w:hAnsi="Times New Roman" w:cs="Times New Roman"/>
          <w:sz w:val="24"/>
          <w:szCs w:val="24"/>
          <w:lang w:val="en-US"/>
        </w:rPr>
        <w:t xml:space="preserve">% for 14 days until obtaining oviposition (Cen et.al., 1998). </w:t>
      </w:r>
      <w:r w:rsidR="00702A50" w:rsidRPr="004738BA">
        <w:rPr>
          <w:rFonts w:ascii="Times New Roman" w:hAnsi="Times New Roman" w:cs="Times New Roman"/>
          <w:sz w:val="24"/>
          <w:szCs w:val="24"/>
          <w:lang w:val="en-US"/>
        </w:rPr>
        <w:t xml:space="preserve">The obtained eggs were deposited in crystal vials of 30 ml volume, 90 mm height, and 25 mm diameter covered with cotton </w:t>
      </w:r>
      <w:r w:rsidR="004B4E56" w:rsidRPr="004738BA">
        <w:rPr>
          <w:rFonts w:ascii="Times New Roman" w:hAnsi="Times New Roman" w:cs="Times New Roman"/>
          <w:sz w:val="24"/>
          <w:szCs w:val="24"/>
          <w:lang w:val="en-US"/>
        </w:rPr>
        <w:t xml:space="preserve">under the same conditions of temperature and humidity for 26 days in order for the larval hatching to be presented. </w:t>
      </w:r>
    </w:p>
    <w:p w:rsidR="004B4E56" w:rsidRDefault="004B4E56" w:rsidP="004738BA">
      <w:pPr>
        <w:spacing w:line="360" w:lineRule="auto"/>
        <w:jc w:val="both"/>
        <w:rPr>
          <w:rFonts w:ascii="Times New Roman" w:hAnsi="Times New Roman" w:cs="Times New Roman"/>
          <w:sz w:val="24"/>
          <w:szCs w:val="24"/>
          <w:lang w:val="en-US"/>
        </w:rPr>
      </w:pPr>
      <w:r w:rsidRPr="004738BA">
        <w:rPr>
          <w:rFonts w:ascii="Times New Roman" w:hAnsi="Times New Roman" w:cs="Times New Roman"/>
          <w:sz w:val="24"/>
          <w:szCs w:val="24"/>
          <w:lang w:val="en-US"/>
        </w:rPr>
        <w:t xml:space="preserve">The procedure followed for the diagnostic of the susceptibility of </w:t>
      </w:r>
      <w:r w:rsidRPr="004738BA">
        <w:rPr>
          <w:rFonts w:ascii="Times New Roman" w:hAnsi="Times New Roman" w:cs="Times New Roman"/>
          <w:i/>
          <w:sz w:val="24"/>
          <w:szCs w:val="24"/>
          <w:lang w:val="en-US"/>
        </w:rPr>
        <w:t>B. microplus</w:t>
      </w:r>
      <w:r w:rsidRPr="004738BA">
        <w:rPr>
          <w:rFonts w:ascii="Times New Roman" w:hAnsi="Times New Roman" w:cs="Times New Roman"/>
          <w:sz w:val="24"/>
          <w:szCs w:val="24"/>
          <w:lang w:val="en-US"/>
        </w:rPr>
        <w:t xml:space="preserve"> tick to Organochlorine, Organophosphorate and Pyrethroid compounds was the one applied by </w:t>
      </w:r>
      <w:r w:rsidR="008D176E" w:rsidRPr="004738BA">
        <w:rPr>
          <w:rFonts w:ascii="Times New Roman" w:hAnsi="Times New Roman" w:cs="Times New Roman"/>
          <w:sz w:val="24"/>
          <w:szCs w:val="24"/>
          <w:lang w:val="en-US"/>
        </w:rPr>
        <w:t>Rodr</w:t>
      </w:r>
      <w:r w:rsidR="006C7937" w:rsidRPr="004738BA">
        <w:rPr>
          <w:rFonts w:ascii="Times New Roman" w:hAnsi="Times New Roman" w:cs="Times New Roman"/>
          <w:sz w:val="24"/>
          <w:szCs w:val="24"/>
          <w:lang w:val="en-US"/>
        </w:rPr>
        <w:t>i</w:t>
      </w:r>
      <w:r w:rsidR="008D176E" w:rsidRPr="004738BA">
        <w:rPr>
          <w:rFonts w:ascii="Times New Roman" w:hAnsi="Times New Roman" w:cs="Times New Roman"/>
          <w:sz w:val="24"/>
          <w:szCs w:val="24"/>
          <w:lang w:val="en-US"/>
        </w:rPr>
        <w:t>guez-Vivas et al., (2007) in which it was used a discriminant dose (</w:t>
      </w:r>
      <w:r w:rsidR="000F2AD3" w:rsidRPr="004738BA">
        <w:rPr>
          <w:rFonts w:ascii="Times New Roman" w:hAnsi="Times New Roman" w:cs="Times New Roman"/>
          <w:sz w:val="24"/>
          <w:szCs w:val="24"/>
          <w:lang w:val="en-US"/>
        </w:rPr>
        <w:t>t</w:t>
      </w:r>
      <w:r w:rsidR="008D176E" w:rsidRPr="004738BA">
        <w:rPr>
          <w:rFonts w:ascii="Times New Roman" w:hAnsi="Times New Roman" w:cs="Times New Roman"/>
          <w:sz w:val="24"/>
          <w:szCs w:val="24"/>
          <w:lang w:val="en-US"/>
        </w:rPr>
        <w:t xml:space="preserve">able 1), along with the larvae package test technique applied by Stone </w:t>
      </w:r>
      <w:r w:rsidR="006C7937" w:rsidRPr="004738BA">
        <w:rPr>
          <w:rFonts w:ascii="Times New Roman" w:hAnsi="Times New Roman" w:cs="Times New Roman"/>
          <w:sz w:val="24"/>
          <w:szCs w:val="24"/>
          <w:lang w:val="en-US"/>
        </w:rPr>
        <w:t>and</w:t>
      </w:r>
      <w:r w:rsidR="008D176E" w:rsidRPr="004738BA">
        <w:rPr>
          <w:rFonts w:ascii="Times New Roman" w:hAnsi="Times New Roman" w:cs="Times New Roman"/>
          <w:sz w:val="24"/>
          <w:szCs w:val="24"/>
          <w:lang w:val="en-US"/>
        </w:rPr>
        <w:t xml:space="preserve"> Haydock (1962), which was recommended by the United States Department of Agriculture (USDA) (Miller 2007, personal communication).</w:t>
      </w:r>
    </w:p>
    <w:p w:rsidR="004738BA" w:rsidRDefault="004738BA" w:rsidP="004738BA">
      <w:pPr>
        <w:spacing w:line="360" w:lineRule="auto"/>
        <w:jc w:val="both"/>
        <w:rPr>
          <w:rFonts w:ascii="Times New Roman" w:hAnsi="Times New Roman" w:cs="Times New Roman"/>
          <w:sz w:val="24"/>
          <w:szCs w:val="24"/>
          <w:lang w:val="en-US"/>
        </w:rPr>
      </w:pPr>
    </w:p>
    <w:p w:rsidR="004738BA" w:rsidRDefault="004738BA" w:rsidP="004738BA">
      <w:pPr>
        <w:spacing w:line="360" w:lineRule="auto"/>
        <w:jc w:val="both"/>
        <w:rPr>
          <w:rFonts w:ascii="Times New Roman" w:hAnsi="Times New Roman" w:cs="Times New Roman"/>
          <w:sz w:val="24"/>
          <w:szCs w:val="24"/>
          <w:lang w:val="en-US"/>
        </w:rPr>
      </w:pPr>
    </w:p>
    <w:p w:rsidR="004738BA" w:rsidRDefault="004738BA" w:rsidP="004738BA">
      <w:pPr>
        <w:spacing w:line="360" w:lineRule="auto"/>
        <w:jc w:val="both"/>
        <w:rPr>
          <w:rFonts w:ascii="Times New Roman" w:hAnsi="Times New Roman" w:cs="Times New Roman"/>
          <w:sz w:val="24"/>
          <w:szCs w:val="24"/>
          <w:lang w:val="en-US"/>
        </w:rPr>
      </w:pPr>
    </w:p>
    <w:p w:rsidR="004738BA" w:rsidRDefault="004738BA" w:rsidP="004738BA">
      <w:pPr>
        <w:spacing w:line="360" w:lineRule="auto"/>
        <w:jc w:val="both"/>
        <w:rPr>
          <w:rFonts w:ascii="Times New Roman" w:hAnsi="Times New Roman" w:cs="Times New Roman"/>
          <w:sz w:val="24"/>
          <w:szCs w:val="24"/>
          <w:lang w:val="en-US"/>
        </w:rPr>
      </w:pPr>
    </w:p>
    <w:p w:rsidR="004738BA" w:rsidRPr="008E4DF8" w:rsidRDefault="004738BA" w:rsidP="004738BA">
      <w:pPr>
        <w:spacing w:line="360" w:lineRule="auto"/>
        <w:jc w:val="both"/>
        <w:rPr>
          <w:rFonts w:ascii="Arial" w:hAnsi="Arial" w:cs="Arial"/>
          <w:sz w:val="24"/>
          <w:szCs w:val="24"/>
          <w:lang w:val="en-US"/>
        </w:rPr>
      </w:pPr>
    </w:p>
    <w:p w:rsidR="008603A4" w:rsidRPr="008E4DF8" w:rsidRDefault="008603A4" w:rsidP="00032D8A">
      <w:pPr>
        <w:spacing w:line="360" w:lineRule="auto"/>
        <w:jc w:val="both"/>
        <w:rPr>
          <w:rFonts w:ascii="Arial" w:hAnsi="Arial" w:cs="Arial"/>
          <w:sz w:val="24"/>
          <w:szCs w:val="24"/>
          <w:lang w:val="en-US"/>
        </w:rPr>
      </w:pPr>
    </w:p>
    <w:tbl>
      <w:tblPr>
        <w:tblW w:w="8615"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048"/>
        <w:gridCol w:w="2447"/>
        <w:gridCol w:w="3120"/>
      </w:tblGrid>
      <w:tr w:rsidR="008603A4" w:rsidRPr="008E4DF8" w:rsidTr="0007071A">
        <w:trPr>
          <w:trHeight w:val="330"/>
        </w:trPr>
        <w:tc>
          <w:tcPr>
            <w:tcW w:w="2940" w:type="dxa"/>
            <w:tcBorders>
              <w:left w:val="nil"/>
              <w:bottom w:val="single" w:sz="8" w:space="0" w:color="auto"/>
              <w:right w:val="nil"/>
            </w:tcBorders>
            <w:shd w:val="clear" w:color="auto" w:fill="auto"/>
          </w:tcPr>
          <w:p w:rsidR="008603A4" w:rsidRPr="008E4DF8" w:rsidRDefault="008603A4" w:rsidP="0007071A">
            <w:pPr>
              <w:spacing w:after="0" w:line="360" w:lineRule="auto"/>
              <w:jc w:val="both"/>
              <w:rPr>
                <w:rFonts w:ascii="Arial" w:eastAsia="Times New Roman" w:hAnsi="Arial" w:cs="Arial"/>
                <w:color w:val="000000"/>
                <w:sz w:val="24"/>
                <w:szCs w:val="24"/>
                <w:lang w:val="es-ES" w:eastAsia="es-ES"/>
              </w:rPr>
            </w:pPr>
            <w:r w:rsidRPr="008E4DF8">
              <w:rPr>
                <w:rFonts w:ascii="Arial" w:eastAsia="Times New Roman" w:hAnsi="Arial" w:cs="Arial"/>
                <w:color w:val="000000"/>
                <w:sz w:val="24"/>
                <w:szCs w:val="24"/>
                <w:lang w:val="es-ES" w:eastAsia="es-ES"/>
              </w:rPr>
              <w:lastRenderedPageBreak/>
              <w:t>Family</w:t>
            </w:r>
          </w:p>
        </w:tc>
        <w:tc>
          <w:tcPr>
            <w:tcW w:w="2475" w:type="dxa"/>
            <w:tcBorders>
              <w:left w:val="nil"/>
              <w:bottom w:val="single" w:sz="8" w:space="0" w:color="auto"/>
              <w:right w:val="nil"/>
            </w:tcBorders>
            <w:shd w:val="clear" w:color="auto" w:fill="auto"/>
          </w:tcPr>
          <w:p w:rsidR="008603A4" w:rsidRPr="008E4DF8" w:rsidRDefault="008603A4" w:rsidP="0007071A">
            <w:pPr>
              <w:spacing w:after="0" w:line="360" w:lineRule="auto"/>
              <w:jc w:val="both"/>
              <w:rPr>
                <w:rFonts w:ascii="Arial" w:eastAsia="Times New Roman" w:hAnsi="Arial" w:cs="Arial"/>
                <w:color w:val="000000"/>
                <w:sz w:val="24"/>
                <w:szCs w:val="24"/>
                <w:lang w:val="es-ES" w:eastAsia="es-ES"/>
              </w:rPr>
            </w:pPr>
            <w:r w:rsidRPr="008E4DF8">
              <w:rPr>
                <w:rFonts w:ascii="Arial" w:eastAsia="Times New Roman" w:hAnsi="Arial" w:cs="Arial"/>
                <w:color w:val="000000"/>
                <w:sz w:val="24"/>
                <w:szCs w:val="24"/>
                <w:lang w:val="es-ES" w:eastAsia="es-ES"/>
              </w:rPr>
              <w:t>Compound</w:t>
            </w:r>
          </w:p>
        </w:tc>
        <w:tc>
          <w:tcPr>
            <w:tcW w:w="3200" w:type="dxa"/>
            <w:tcBorders>
              <w:left w:val="nil"/>
              <w:bottom w:val="single" w:sz="8" w:space="0" w:color="auto"/>
              <w:right w:val="nil"/>
            </w:tcBorders>
            <w:shd w:val="clear" w:color="auto" w:fill="auto"/>
          </w:tcPr>
          <w:p w:rsidR="008603A4" w:rsidRPr="008E4DF8" w:rsidRDefault="008603A4" w:rsidP="0007071A">
            <w:pPr>
              <w:spacing w:after="0" w:line="360" w:lineRule="auto"/>
              <w:jc w:val="both"/>
              <w:rPr>
                <w:rFonts w:ascii="Arial" w:eastAsia="Times New Roman" w:hAnsi="Arial" w:cs="Arial"/>
                <w:color w:val="000000"/>
                <w:sz w:val="24"/>
                <w:szCs w:val="24"/>
                <w:lang w:val="es-ES" w:eastAsia="es-ES"/>
              </w:rPr>
            </w:pPr>
            <w:r w:rsidRPr="008E4DF8">
              <w:rPr>
                <w:rFonts w:ascii="Arial" w:eastAsia="Times New Roman" w:hAnsi="Arial" w:cs="Arial"/>
                <w:color w:val="000000"/>
                <w:sz w:val="24"/>
                <w:szCs w:val="24"/>
                <w:lang w:val="es-ES" w:eastAsia="es-ES"/>
              </w:rPr>
              <w:t>Discriminant Dose</w:t>
            </w:r>
          </w:p>
        </w:tc>
      </w:tr>
      <w:tr w:rsidR="008603A4" w:rsidRPr="008E4DF8" w:rsidTr="0007071A">
        <w:trPr>
          <w:trHeight w:val="330"/>
        </w:trPr>
        <w:tc>
          <w:tcPr>
            <w:tcW w:w="2940" w:type="dxa"/>
            <w:tcBorders>
              <w:left w:val="nil"/>
              <w:bottom w:val="single" w:sz="8" w:space="0" w:color="auto"/>
              <w:right w:val="nil"/>
            </w:tcBorders>
            <w:shd w:val="clear" w:color="auto" w:fill="auto"/>
          </w:tcPr>
          <w:p w:rsidR="008603A4" w:rsidRPr="008E4DF8" w:rsidRDefault="008603A4" w:rsidP="0007071A">
            <w:pPr>
              <w:spacing w:after="0" w:line="360" w:lineRule="auto"/>
              <w:jc w:val="both"/>
              <w:rPr>
                <w:rFonts w:ascii="Arial" w:eastAsia="Times New Roman" w:hAnsi="Arial" w:cs="Arial"/>
                <w:caps/>
                <w:color w:val="000000"/>
                <w:sz w:val="24"/>
                <w:szCs w:val="24"/>
                <w:lang w:val="es-ES" w:eastAsia="es-ES"/>
              </w:rPr>
            </w:pPr>
            <w:r w:rsidRPr="008E4DF8">
              <w:rPr>
                <w:rFonts w:ascii="Arial" w:hAnsi="Arial" w:cs="Arial"/>
                <w:caps/>
                <w:sz w:val="24"/>
                <w:szCs w:val="24"/>
                <w:lang w:val="en-US"/>
              </w:rPr>
              <w:t>Organochlorine</w:t>
            </w:r>
          </w:p>
        </w:tc>
        <w:tc>
          <w:tcPr>
            <w:tcW w:w="2475" w:type="dxa"/>
            <w:tcBorders>
              <w:left w:val="nil"/>
              <w:bottom w:val="single" w:sz="8" w:space="0" w:color="auto"/>
              <w:right w:val="nil"/>
            </w:tcBorders>
            <w:shd w:val="clear" w:color="auto" w:fill="auto"/>
          </w:tcPr>
          <w:p w:rsidR="008603A4" w:rsidRPr="008E4DF8" w:rsidRDefault="008603A4" w:rsidP="0007071A">
            <w:pPr>
              <w:spacing w:after="0" w:line="360" w:lineRule="auto"/>
              <w:jc w:val="both"/>
              <w:rPr>
                <w:rFonts w:ascii="Arial" w:eastAsia="Times New Roman" w:hAnsi="Arial" w:cs="Arial"/>
                <w:color w:val="000000"/>
                <w:sz w:val="24"/>
                <w:szCs w:val="24"/>
                <w:lang w:val="es-ES" w:eastAsia="es-ES"/>
              </w:rPr>
            </w:pPr>
            <w:r w:rsidRPr="008E4DF8">
              <w:rPr>
                <w:rFonts w:ascii="Arial" w:eastAsia="Times New Roman" w:hAnsi="Arial" w:cs="Arial"/>
                <w:color w:val="000000"/>
                <w:sz w:val="24"/>
                <w:szCs w:val="24"/>
                <w:lang w:val="es-ES" w:eastAsia="es-ES"/>
              </w:rPr>
              <w:t>Lindane</w:t>
            </w:r>
          </w:p>
        </w:tc>
        <w:tc>
          <w:tcPr>
            <w:tcW w:w="3200" w:type="dxa"/>
            <w:tcBorders>
              <w:left w:val="nil"/>
              <w:bottom w:val="single" w:sz="8" w:space="0" w:color="auto"/>
              <w:right w:val="nil"/>
            </w:tcBorders>
            <w:shd w:val="clear" w:color="auto" w:fill="auto"/>
          </w:tcPr>
          <w:p w:rsidR="008603A4" w:rsidRPr="008E4DF8" w:rsidRDefault="008603A4" w:rsidP="0007071A">
            <w:pPr>
              <w:spacing w:after="0" w:line="360" w:lineRule="auto"/>
              <w:jc w:val="both"/>
              <w:rPr>
                <w:rFonts w:ascii="Arial" w:eastAsia="Times New Roman" w:hAnsi="Arial" w:cs="Arial"/>
                <w:color w:val="000000"/>
                <w:sz w:val="24"/>
                <w:szCs w:val="24"/>
                <w:lang w:val="es-ES" w:eastAsia="es-ES"/>
              </w:rPr>
            </w:pPr>
            <w:r w:rsidRPr="008E4DF8">
              <w:rPr>
                <w:rFonts w:ascii="Arial" w:eastAsia="Times New Roman" w:hAnsi="Arial" w:cs="Arial"/>
                <w:color w:val="000000"/>
                <w:sz w:val="24"/>
                <w:szCs w:val="24"/>
                <w:lang w:val="es-ES" w:eastAsia="es-ES"/>
              </w:rPr>
              <w:t>0.1</w:t>
            </w:r>
            <w:r w:rsidR="000F2AD3">
              <w:rPr>
                <w:rFonts w:ascii="Arial" w:eastAsia="Times New Roman" w:hAnsi="Arial" w:cs="Arial"/>
                <w:color w:val="000000"/>
                <w:sz w:val="24"/>
                <w:szCs w:val="24"/>
                <w:lang w:val="es-ES" w:eastAsia="es-ES"/>
              </w:rPr>
              <w:t xml:space="preserve"> </w:t>
            </w:r>
            <w:r w:rsidRPr="008E4DF8">
              <w:rPr>
                <w:rFonts w:ascii="Arial" w:eastAsia="Times New Roman" w:hAnsi="Arial" w:cs="Arial"/>
                <w:color w:val="000000"/>
                <w:sz w:val="24"/>
                <w:szCs w:val="24"/>
                <w:lang w:val="es-ES" w:eastAsia="es-ES"/>
              </w:rPr>
              <w:t>%</w:t>
            </w:r>
          </w:p>
        </w:tc>
      </w:tr>
      <w:tr w:rsidR="008603A4" w:rsidRPr="008E4DF8" w:rsidTr="0007071A">
        <w:trPr>
          <w:trHeight w:val="330"/>
        </w:trPr>
        <w:tc>
          <w:tcPr>
            <w:tcW w:w="2940" w:type="dxa"/>
            <w:vMerge w:val="restart"/>
            <w:tcBorders>
              <w:left w:val="nil"/>
              <w:right w:val="nil"/>
            </w:tcBorders>
            <w:shd w:val="clear" w:color="auto" w:fill="auto"/>
          </w:tcPr>
          <w:p w:rsidR="008603A4" w:rsidRPr="008E4DF8" w:rsidRDefault="008603A4" w:rsidP="0007071A">
            <w:pPr>
              <w:spacing w:after="0" w:line="360" w:lineRule="auto"/>
              <w:jc w:val="both"/>
              <w:rPr>
                <w:rFonts w:ascii="Arial" w:eastAsia="Times New Roman" w:hAnsi="Arial" w:cs="Arial"/>
                <w:caps/>
                <w:color w:val="000000"/>
                <w:sz w:val="24"/>
                <w:szCs w:val="24"/>
                <w:lang w:val="es-ES" w:eastAsia="es-ES"/>
              </w:rPr>
            </w:pPr>
            <w:r w:rsidRPr="008E4DF8">
              <w:rPr>
                <w:rFonts w:ascii="Arial" w:eastAsia="Times New Roman" w:hAnsi="Arial" w:cs="Arial"/>
                <w:color w:val="000000"/>
                <w:sz w:val="24"/>
                <w:szCs w:val="24"/>
                <w:lang w:val="es-ES" w:eastAsia="es-ES"/>
              </w:rPr>
              <w:t xml:space="preserve">                                                                                                                                                                                                                                                                                                </w:t>
            </w:r>
            <w:r w:rsidRPr="008E4DF8">
              <w:rPr>
                <w:rFonts w:ascii="Arial" w:hAnsi="Arial" w:cs="Arial"/>
                <w:caps/>
                <w:sz w:val="24"/>
                <w:szCs w:val="24"/>
                <w:lang w:val="en-US"/>
              </w:rPr>
              <w:t>Organophosphorate</w:t>
            </w:r>
          </w:p>
        </w:tc>
        <w:tc>
          <w:tcPr>
            <w:tcW w:w="2475" w:type="dxa"/>
            <w:tcBorders>
              <w:left w:val="nil"/>
              <w:bottom w:val="nil"/>
              <w:right w:val="nil"/>
            </w:tcBorders>
            <w:shd w:val="clear" w:color="auto" w:fill="auto"/>
          </w:tcPr>
          <w:p w:rsidR="008603A4" w:rsidRPr="008E4DF8" w:rsidRDefault="008603A4" w:rsidP="0007071A">
            <w:pPr>
              <w:spacing w:after="0" w:line="360" w:lineRule="auto"/>
              <w:jc w:val="both"/>
              <w:rPr>
                <w:rFonts w:ascii="Arial" w:eastAsia="Times New Roman" w:hAnsi="Arial" w:cs="Arial"/>
                <w:color w:val="000000"/>
                <w:sz w:val="24"/>
                <w:szCs w:val="24"/>
                <w:lang w:val="es-ES" w:eastAsia="es-ES"/>
              </w:rPr>
            </w:pPr>
            <w:r w:rsidRPr="008E4DF8">
              <w:rPr>
                <w:rFonts w:ascii="Arial" w:eastAsia="Times New Roman" w:hAnsi="Arial" w:cs="Arial"/>
                <w:color w:val="000000"/>
                <w:sz w:val="24"/>
                <w:szCs w:val="24"/>
                <w:lang w:val="es-ES" w:eastAsia="es-ES"/>
              </w:rPr>
              <w:t>Coumaphos</w:t>
            </w:r>
          </w:p>
        </w:tc>
        <w:tc>
          <w:tcPr>
            <w:tcW w:w="3200" w:type="dxa"/>
            <w:tcBorders>
              <w:left w:val="nil"/>
              <w:bottom w:val="nil"/>
              <w:right w:val="nil"/>
            </w:tcBorders>
            <w:shd w:val="clear" w:color="auto" w:fill="auto"/>
          </w:tcPr>
          <w:p w:rsidR="008603A4" w:rsidRPr="008E4DF8" w:rsidRDefault="008603A4" w:rsidP="0007071A">
            <w:pPr>
              <w:spacing w:after="0" w:line="360" w:lineRule="auto"/>
              <w:jc w:val="both"/>
              <w:rPr>
                <w:rFonts w:ascii="Arial" w:eastAsia="Times New Roman" w:hAnsi="Arial" w:cs="Arial"/>
                <w:color w:val="000000"/>
                <w:sz w:val="24"/>
                <w:szCs w:val="24"/>
                <w:lang w:val="es-ES" w:eastAsia="es-ES"/>
              </w:rPr>
            </w:pPr>
            <w:r w:rsidRPr="008E4DF8">
              <w:rPr>
                <w:rFonts w:ascii="Arial" w:eastAsia="Times New Roman" w:hAnsi="Arial" w:cs="Arial"/>
                <w:color w:val="000000"/>
                <w:sz w:val="24"/>
                <w:szCs w:val="24"/>
                <w:lang w:val="es-ES" w:eastAsia="es-ES"/>
              </w:rPr>
              <w:t>0.2</w:t>
            </w:r>
            <w:r w:rsidR="000F2AD3">
              <w:rPr>
                <w:rFonts w:ascii="Arial" w:eastAsia="Times New Roman" w:hAnsi="Arial" w:cs="Arial"/>
                <w:color w:val="000000"/>
                <w:sz w:val="24"/>
                <w:szCs w:val="24"/>
                <w:lang w:val="es-ES" w:eastAsia="es-ES"/>
              </w:rPr>
              <w:t xml:space="preserve"> </w:t>
            </w:r>
            <w:r w:rsidRPr="008E4DF8">
              <w:rPr>
                <w:rFonts w:ascii="Arial" w:eastAsia="Times New Roman" w:hAnsi="Arial" w:cs="Arial"/>
                <w:color w:val="000000"/>
                <w:sz w:val="24"/>
                <w:szCs w:val="24"/>
                <w:lang w:val="es-ES" w:eastAsia="es-ES"/>
              </w:rPr>
              <w:t>%</w:t>
            </w:r>
          </w:p>
        </w:tc>
      </w:tr>
      <w:tr w:rsidR="008603A4" w:rsidRPr="008E4DF8" w:rsidTr="0007071A">
        <w:trPr>
          <w:trHeight w:val="330"/>
        </w:trPr>
        <w:tc>
          <w:tcPr>
            <w:tcW w:w="2940" w:type="dxa"/>
            <w:vMerge/>
            <w:tcBorders>
              <w:left w:val="nil"/>
              <w:right w:val="nil"/>
            </w:tcBorders>
            <w:vAlign w:val="center"/>
          </w:tcPr>
          <w:p w:rsidR="008603A4" w:rsidRPr="008E4DF8" w:rsidRDefault="008603A4" w:rsidP="0007071A">
            <w:pPr>
              <w:spacing w:after="0" w:line="360" w:lineRule="auto"/>
              <w:jc w:val="both"/>
              <w:rPr>
                <w:rFonts w:ascii="Arial" w:eastAsia="Times New Roman" w:hAnsi="Arial" w:cs="Arial"/>
                <w:color w:val="000000"/>
                <w:sz w:val="24"/>
                <w:szCs w:val="24"/>
                <w:lang w:val="es-ES" w:eastAsia="es-ES"/>
              </w:rPr>
            </w:pPr>
          </w:p>
        </w:tc>
        <w:tc>
          <w:tcPr>
            <w:tcW w:w="2475" w:type="dxa"/>
            <w:tcBorders>
              <w:top w:val="nil"/>
              <w:left w:val="nil"/>
              <w:bottom w:val="nil"/>
              <w:right w:val="nil"/>
            </w:tcBorders>
            <w:shd w:val="clear" w:color="auto" w:fill="auto"/>
          </w:tcPr>
          <w:p w:rsidR="008603A4" w:rsidRPr="008E4DF8" w:rsidRDefault="008603A4" w:rsidP="0007071A">
            <w:pPr>
              <w:spacing w:after="0" w:line="360" w:lineRule="auto"/>
              <w:jc w:val="both"/>
              <w:rPr>
                <w:rFonts w:ascii="Arial" w:eastAsia="Times New Roman" w:hAnsi="Arial" w:cs="Arial"/>
                <w:color w:val="000000"/>
                <w:sz w:val="24"/>
                <w:szCs w:val="24"/>
                <w:lang w:val="es-ES" w:eastAsia="es-ES"/>
              </w:rPr>
            </w:pPr>
            <w:r w:rsidRPr="008E4DF8">
              <w:rPr>
                <w:rFonts w:ascii="Arial" w:eastAsia="Times New Roman" w:hAnsi="Arial" w:cs="Arial"/>
                <w:color w:val="000000"/>
                <w:sz w:val="24"/>
                <w:szCs w:val="24"/>
                <w:lang w:val="es-ES" w:eastAsia="es-ES"/>
              </w:rPr>
              <w:t>Diazinon</w:t>
            </w:r>
          </w:p>
        </w:tc>
        <w:tc>
          <w:tcPr>
            <w:tcW w:w="3200" w:type="dxa"/>
            <w:tcBorders>
              <w:top w:val="nil"/>
              <w:left w:val="nil"/>
              <w:bottom w:val="nil"/>
              <w:right w:val="nil"/>
            </w:tcBorders>
            <w:shd w:val="clear" w:color="auto" w:fill="auto"/>
          </w:tcPr>
          <w:p w:rsidR="008603A4" w:rsidRPr="008E4DF8" w:rsidRDefault="008603A4" w:rsidP="0007071A">
            <w:pPr>
              <w:spacing w:after="0" w:line="360" w:lineRule="auto"/>
              <w:jc w:val="both"/>
              <w:rPr>
                <w:rFonts w:ascii="Arial" w:eastAsia="Times New Roman" w:hAnsi="Arial" w:cs="Arial"/>
                <w:color w:val="000000"/>
                <w:sz w:val="24"/>
                <w:szCs w:val="24"/>
                <w:lang w:val="es-ES" w:eastAsia="es-ES"/>
              </w:rPr>
            </w:pPr>
            <w:r w:rsidRPr="008E4DF8">
              <w:rPr>
                <w:rFonts w:ascii="Arial" w:eastAsia="Times New Roman" w:hAnsi="Arial" w:cs="Arial"/>
                <w:color w:val="000000"/>
                <w:sz w:val="24"/>
                <w:szCs w:val="24"/>
                <w:lang w:val="es-ES" w:eastAsia="es-ES"/>
              </w:rPr>
              <w:t>0.08</w:t>
            </w:r>
            <w:r w:rsidR="000F2AD3">
              <w:rPr>
                <w:rFonts w:ascii="Arial" w:eastAsia="Times New Roman" w:hAnsi="Arial" w:cs="Arial"/>
                <w:color w:val="000000"/>
                <w:sz w:val="24"/>
                <w:szCs w:val="24"/>
                <w:lang w:val="es-ES" w:eastAsia="es-ES"/>
              </w:rPr>
              <w:t xml:space="preserve"> </w:t>
            </w:r>
            <w:r w:rsidRPr="008E4DF8">
              <w:rPr>
                <w:rFonts w:ascii="Arial" w:eastAsia="Times New Roman" w:hAnsi="Arial" w:cs="Arial"/>
                <w:color w:val="000000"/>
                <w:sz w:val="24"/>
                <w:szCs w:val="24"/>
                <w:lang w:val="es-ES" w:eastAsia="es-ES"/>
              </w:rPr>
              <w:t>%</w:t>
            </w:r>
          </w:p>
        </w:tc>
      </w:tr>
      <w:tr w:rsidR="008603A4" w:rsidRPr="008E4DF8" w:rsidTr="0007071A">
        <w:trPr>
          <w:trHeight w:val="330"/>
        </w:trPr>
        <w:tc>
          <w:tcPr>
            <w:tcW w:w="2940" w:type="dxa"/>
            <w:vMerge/>
            <w:tcBorders>
              <w:left w:val="nil"/>
              <w:right w:val="nil"/>
            </w:tcBorders>
            <w:vAlign w:val="center"/>
          </w:tcPr>
          <w:p w:rsidR="008603A4" w:rsidRPr="008E4DF8" w:rsidRDefault="008603A4" w:rsidP="0007071A">
            <w:pPr>
              <w:spacing w:after="0" w:line="360" w:lineRule="auto"/>
              <w:jc w:val="both"/>
              <w:rPr>
                <w:rFonts w:ascii="Arial" w:eastAsia="Times New Roman" w:hAnsi="Arial" w:cs="Arial"/>
                <w:color w:val="000000"/>
                <w:sz w:val="24"/>
                <w:szCs w:val="24"/>
                <w:lang w:val="es-ES" w:eastAsia="es-ES"/>
              </w:rPr>
            </w:pPr>
          </w:p>
        </w:tc>
        <w:tc>
          <w:tcPr>
            <w:tcW w:w="2475" w:type="dxa"/>
            <w:tcBorders>
              <w:top w:val="nil"/>
              <w:left w:val="nil"/>
              <w:bottom w:val="single" w:sz="8" w:space="0" w:color="auto"/>
              <w:right w:val="nil"/>
            </w:tcBorders>
            <w:shd w:val="clear" w:color="auto" w:fill="auto"/>
          </w:tcPr>
          <w:p w:rsidR="008603A4" w:rsidRPr="008E4DF8" w:rsidRDefault="008603A4" w:rsidP="0007071A">
            <w:pPr>
              <w:spacing w:after="0" w:line="360" w:lineRule="auto"/>
              <w:jc w:val="both"/>
              <w:rPr>
                <w:rFonts w:ascii="Arial" w:eastAsia="Times New Roman" w:hAnsi="Arial" w:cs="Arial"/>
                <w:color w:val="000000"/>
                <w:sz w:val="24"/>
                <w:szCs w:val="24"/>
                <w:lang w:val="es-ES" w:eastAsia="es-ES"/>
              </w:rPr>
            </w:pPr>
            <w:r w:rsidRPr="008E4DF8">
              <w:rPr>
                <w:rFonts w:ascii="Arial" w:eastAsia="Times New Roman" w:hAnsi="Arial" w:cs="Arial"/>
                <w:color w:val="000000"/>
                <w:sz w:val="24"/>
                <w:szCs w:val="24"/>
                <w:lang w:val="es-ES" w:eastAsia="es-ES"/>
              </w:rPr>
              <w:t>Chlorfenvinphos</w:t>
            </w:r>
          </w:p>
        </w:tc>
        <w:tc>
          <w:tcPr>
            <w:tcW w:w="3200" w:type="dxa"/>
            <w:tcBorders>
              <w:top w:val="nil"/>
              <w:left w:val="nil"/>
              <w:bottom w:val="single" w:sz="8" w:space="0" w:color="auto"/>
              <w:right w:val="nil"/>
            </w:tcBorders>
            <w:shd w:val="clear" w:color="auto" w:fill="auto"/>
          </w:tcPr>
          <w:p w:rsidR="008603A4" w:rsidRPr="008E4DF8" w:rsidRDefault="008603A4" w:rsidP="0007071A">
            <w:pPr>
              <w:spacing w:after="0" w:line="360" w:lineRule="auto"/>
              <w:jc w:val="both"/>
              <w:rPr>
                <w:rFonts w:ascii="Arial" w:eastAsia="Times New Roman" w:hAnsi="Arial" w:cs="Arial"/>
                <w:color w:val="000000"/>
                <w:sz w:val="24"/>
                <w:szCs w:val="24"/>
                <w:lang w:val="es-ES" w:eastAsia="es-ES"/>
              </w:rPr>
            </w:pPr>
            <w:r w:rsidRPr="008E4DF8">
              <w:rPr>
                <w:rFonts w:ascii="Arial" w:eastAsia="Times New Roman" w:hAnsi="Arial" w:cs="Arial"/>
                <w:color w:val="000000"/>
                <w:sz w:val="24"/>
                <w:szCs w:val="24"/>
                <w:lang w:val="es-ES" w:eastAsia="es-ES"/>
              </w:rPr>
              <w:t>0.2</w:t>
            </w:r>
            <w:r w:rsidR="000F2AD3">
              <w:rPr>
                <w:rFonts w:ascii="Arial" w:eastAsia="Times New Roman" w:hAnsi="Arial" w:cs="Arial"/>
                <w:color w:val="000000"/>
                <w:sz w:val="24"/>
                <w:szCs w:val="24"/>
                <w:lang w:val="es-ES" w:eastAsia="es-ES"/>
              </w:rPr>
              <w:t xml:space="preserve"> </w:t>
            </w:r>
            <w:r w:rsidRPr="008E4DF8">
              <w:rPr>
                <w:rFonts w:ascii="Arial" w:eastAsia="Times New Roman" w:hAnsi="Arial" w:cs="Arial"/>
                <w:color w:val="000000"/>
                <w:sz w:val="24"/>
                <w:szCs w:val="24"/>
                <w:lang w:val="es-ES" w:eastAsia="es-ES"/>
              </w:rPr>
              <w:t>%</w:t>
            </w:r>
          </w:p>
        </w:tc>
      </w:tr>
      <w:tr w:rsidR="008603A4" w:rsidRPr="008E4DF8" w:rsidTr="0007071A">
        <w:trPr>
          <w:trHeight w:val="330"/>
        </w:trPr>
        <w:tc>
          <w:tcPr>
            <w:tcW w:w="2940" w:type="dxa"/>
            <w:vMerge w:val="restart"/>
            <w:tcBorders>
              <w:left w:val="nil"/>
              <w:right w:val="nil"/>
            </w:tcBorders>
            <w:shd w:val="clear" w:color="auto" w:fill="auto"/>
          </w:tcPr>
          <w:p w:rsidR="008603A4" w:rsidRPr="008E4DF8" w:rsidRDefault="008603A4" w:rsidP="0007071A">
            <w:pPr>
              <w:spacing w:after="0" w:line="360" w:lineRule="auto"/>
              <w:jc w:val="both"/>
              <w:rPr>
                <w:rFonts w:ascii="Arial" w:eastAsia="Times New Roman" w:hAnsi="Arial" w:cs="Arial"/>
                <w:caps/>
                <w:color w:val="000000"/>
                <w:sz w:val="24"/>
                <w:szCs w:val="24"/>
                <w:lang w:val="es-ES" w:eastAsia="es-ES"/>
              </w:rPr>
            </w:pPr>
            <w:r w:rsidRPr="008E4DF8">
              <w:rPr>
                <w:rFonts w:ascii="Arial" w:eastAsia="Times New Roman" w:hAnsi="Arial" w:cs="Arial"/>
                <w:color w:val="000000"/>
                <w:sz w:val="24"/>
                <w:szCs w:val="24"/>
                <w:lang w:val="es-ES" w:eastAsia="es-ES"/>
              </w:rPr>
              <w:t xml:space="preserve">                                                                                                                                                                                         </w:t>
            </w:r>
            <w:r w:rsidRPr="008E4DF8">
              <w:rPr>
                <w:rFonts w:ascii="Arial" w:hAnsi="Arial" w:cs="Arial"/>
                <w:caps/>
                <w:sz w:val="24"/>
                <w:szCs w:val="24"/>
                <w:lang w:val="en-US"/>
              </w:rPr>
              <w:t>Pyrethroid</w:t>
            </w:r>
          </w:p>
        </w:tc>
        <w:tc>
          <w:tcPr>
            <w:tcW w:w="2475" w:type="dxa"/>
            <w:tcBorders>
              <w:left w:val="nil"/>
              <w:bottom w:val="nil"/>
              <w:right w:val="nil"/>
            </w:tcBorders>
            <w:shd w:val="clear" w:color="auto" w:fill="auto"/>
          </w:tcPr>
          <w:p w:rsidR="008603A4" w:rsidRPr="008E4DF8" w:rsidRDefault="008603A4" w:rsidP="0007071A">
            <w:pPr>
              <w:spacing w:after="0" w:line="360" w:lineRule="auto"/>
              <w:jc w:val="both"/>
              <w:rPr>
                <w:rFonts w:ascii="Arial" w:eastAsia="Times New Roman" w:hAnsi="Arial" w:cs="Arial"/>
                <w:color w:val="000000"/>
                <w:sz w:val="24"/>
                <w:szCs w:val="24"/>
                <w:lang w:val="es-ES" w:eastAsia="es-ES"/>
              </w:rPr>
            </w:pPr>
            <w:r w:rsidRPr="008E4DF8">
              <w:rPr>
                <w:rFonts w:ascii="Arial" w:eastAsia="Times New Roman" w:hAnsi="Arial" w:cs="Arial"/>
                <w:color w:val="000000"/>
                <w:sz w:val="24"/>
                <w:szCs w:val="24"/>
                <w:lang w:val="es-ES" w:eastAsia="es-ES"/>
              </w:rPr>
              <w:t>Flumethrin</w:t>
            </w:r>
          </w:p>
        </w:tc>
        <w:tc>
          <w:tcPr>
            <w:tcW w:w="3200" w:type="dxa"/>
            <w:tcBorders>
              <w:left w:val="nil"/>
              <w:bottom w:val="nil"/>
              <w:right w:val="nil"/>
            </w:tcBorders>
            <w:shd w:val="clear" w:color="auto" w:fill="auto"/>
          </w:tcPr>
          <w:p w:rsidR="008603A4" w:rsidRPr="008E4DF8" w:rsidRDefault="008603A4" w:rsidP="0007071A">
            <w:pPr>
              <w:spacing w:after="0" w:line="360" w:lineRule="auto"/>
              <w:jc w:val="both"/>
              <w:rPr>
                <w:rFonts w:ascii="Arial" w:eastAsia="Times New Roman" w:hAnsi="Arial" w:cs="Arial"/>
                <w:color w:val="000000"/>
                <w:sz w:val="24"/>
                <w:szCs w:val="24"/>
                <w:lang w:val="es-ES" w:eastAsia="es-ES"/>
              </w:rPr>
            </w:pPr>
            <w:r w:rsidRPr="008E4DF8">
              <w:rPr>
                <w:rFonts w:ascii="Arial" w:eastAsia="Times New Roman" w:hAnsi="Arial" w:cs="Arial"/>
                <w:color w:val="000000"/>
                <w:sz w:val="24"/>
                <w:szCs w:val="24"/>
                <w:lang w:val="es-ES" w:eastAsia="es-ES"/>
              </w:rPr>
              <w:t>0.01</w:t>
            </w:r>
            <w:r w:rsidR="000F2AD3">
              <w:rPr>
                <w:rFonts w:ascii="Arial" w:eastAsia="Times New Roman" w:hAnsi="Arial" w:cs="Arial"/>
                <w:color w:val="000000"/>
                <w:sz w:val="24"/>
                <w:szCs w:val="24"/>
                <w:lang w:val="es-ES" w:eastAsia="es-ES"/>
              </w:rPr>
              <w:t xml:space="preserve"> </w:t>
            </w:r>
            <w:r w:rsidRPr="008E4DF8">
              <w:rPr>
                <w:rFonts w:ascii="Arial" w:eastAsia="Times New Roman" w:hAnsi="Arial" w:cs="Arial"/>
                <w:color w:val="000000"/>
                <w:sz w:val="24"/>
                <w:szCs w:val="24"/>
                <w:lang w:val="es-ES" w:eastAsia="es-ES"/>
              </w:rPr>
              <w:t>%</w:t>
            </w:r>
          </w:p>
        </w:tc>
      </w:tr>
      <w:tr w:rsidR="008603A4" w:rsidRPr="008E4DF8" w:rsidTr="0007071A">
        <w:trPr>
          <w:trHeight w:val="330"/>
        </w:trPr>
        <w:tc>
          <w:tcPr>
            <w:tcW w:w="2940" w:type="dxa"/>
            <w:vMerge/>
            <w:tcBorders>
              <w:left w:val="nil"/>
              <w:right w:val="nil"/>
            </w:tcBorders>
            <w:vAlign w:val="center"/>
          </w:tcPr>
          <w:p w:rsidR="008603A4" w:rsidRPr="008E4DF8" w:rsidRDefault="008603A4" w:rsidP="0007071A">
            <w:pPr>
              <w:spacing w:after="0" w:line="360" w:lineRule="auto"/>
              <w:jc w:val="both"/>
              <w:rPr>
                <w:rFonts w:ascii="Arial" w:eastAsia="Times New Roman" w:hAnsi="Arial" w:cs="Arial"/>
                <w:color w:val="000000"/>
                <w:sz w:val="24"/>
                <w:szCs w:val="24"/>
                <w:lang w:val="es-ES" w:eastAsia="es-ES"/>
              </w:rPr>
            </w:pPr>
          </w:p>
        </w:tc>
        <w:tc>
          <w:tcPr>
            <w:tcW w:w="2475" w:type="dxa"/>
            <w:tcBorders>
              <w:top w:val="nil"/>
              <w:left w:val="nil"/>
              <w:bottom w:val="nil"/>
              <w:right w:val="nil"/>
            </w:tcBorders>
            <w:shd w:val="clear" w:color="auto" w:fill="auto"/>
          </w:tcPr>
          <w:p w:rsidR="008603A4" w:rsidRPr="008E4DF8" w:rsidRDefault="008603A4" w:rsidP="0007071A">
            <w:pPr>
              <w:spacing w:after="0" w:line="360" w:lineRule="auto"/>
              <w:jc w:val="both"/>
              <w:rPr>
                <w:rFonts w:ascii="Arial" w:eastAsia="Times New Roman" w:hAnsi="Arial" w:cs="Arial"/>
                <w:color w:val="000000"/>
                <w:sz w:val="24"/>
                <w:szCs w:val="24"/>
                <w:lang w:val="es-ES" w:eastAsia="es-ES"/>
              </w:rPr>
            </w:pPr>
            <w:r w:rsidRPr="008E4DF8">
              <w:rPr>
                <w:rFonts w:ascii="Arial" w:eastAsia="Times New Roman" w:hAnsi="Arial" w:cs="Arial"/>
                <w:color w:val="000000"/>
                <w:sz w:val="24"/>
                <w:szCs w:val="24"/>
                <w:lang w:val="es-ES" w:eastAsia="es-ES"/>
              </w:rPr>
              <w:t>Deltamethrin</w:t>
            </w:r>
          </w:p>
        </w:tc>
        <w:tc>
          <w:tcPr>
            <w:tcW w:w="3200" w:type="dxa"/>
            <w:tcBorders>
              <w:top w:val="nil"/>
              <w:left w:val="nil"/>
              <w:bottom w:val="nil"/>
              <w:right w:val="nil"/>
            </w:tcBorders>
            <w:shd w:val="clear" w:color="auto" w:fill="auto"/>
          </w:tcPr>
          <w:p w:rsidR="008603A4" w:rsidRPr="008E4DF8" w:rsidRDefault="008603A4" w:rsidP="0007071A">
            <w:pPr>
              <w:spacing w:after="0" w:line="360" w:lineRule="auto"/>
              <w:jc w:val="both"/>
              <w:rPr>
                <w:rFonts w:ascii="Arial" w:eastAsia="Times New Roman" w:hAnsi="Arial" w:cs="Arial"/>
                <w:color w:val="000000"/>
                <w:sz w:val="24"/>
                <w:szCs w:val="24"/>
                <w:lang w:val="es-ES" w:eastAsia="es-ES"/>
              </w:rPr>
            </w:pPr>
            <w:r w:rsidRPr="008E4DF8">
              <w:rPr>
                <w:rFonts w:ascii="Arial" w:eastAsia="Times New Roman" w:hAnsi="Arial" w:cs="Arial"/>
                <w:color w:val="000000"/>
                <w:sz w:val="24"/>
                <w:szCs w:val="24"/>
                <w:lang w:val="es-ES" w:eastAsia="es-ES"/>
              </w:rPr>
              <w:t>0.09</w:t>
            </w:r>
            <w:r w:rsidR="000F2AD3">
              <w:rPr>
                <w:rFonts w:ascii="Arial" w:eastAsia="Times New Roman" w:hAnsi="Arial" w:cs="Arial"/>
                <w:color w:val="000000"/>
                <w:sz w:val="24"/>
                <w:szCs w:val="24"/>
                <w:lang w:val="es-ES" w:eastAsia="es-ES"/>
              </w:rPr>
              <w:t xml:space="preserve"> </w:t>
            </w:r>
            <w:r w:rsidRPr="008E4DF8">
              <w:rPr>
                <w:rFonts w:ascii="Arial" w:eastAsia="Times New Roman" w:hAnsi="Arial" w:cs="Arial"/>
                <w:color w:val="000000"/>
                <w:sz w:val="24"/>
                <w:szCs w:val="24"/>
                <w:lang w:val="es-ES" w:eastAsia="es-ES"/>
              </w:rPr>
              <w:t>%</w:t>
            </w:r>
          </w:p>
        </w:tc>
      </w:tr>
      <w:tr w:rsidR="008603A4" w:rsidRPr="008E4DF8" w:rsidTr="0007071A">
        <w:trPr>
          <w:trHeight w:val="330"/>
        </w:trPr>
        <w:tc>
          <w:tcPr>
            <w:tcW w:w="2940" w:type="dxa"/>
            <w:vMerge/>
            <w:tcBorders>
              <w:left w:val="nil"/>
              <w:right w:val="nil"/>
            </w:tcBorders>
            <w:vAlign w:val="center"/>
          </w:tcPr>
          <w:p w:rsidR="008603A4" w:rsidRPr="008E4DF8" w:rsidRDefault="008603A4" w:rsidP="0007071A">
            <w:pPr>
              <w:spacing w:after="0" w:line="360" w:lineRule="auto"/>
              <w:jc w:val="both"/>
              <w:rPr>
                <w:rFonts w:ascii="Arial" w:eastAsia="Times New Roman" w:hAnsi="Arial" w:cs="Arial"/>
                <w:color w:val="000000"/>
                <w:sz w:val="24"/>
                <w:szCs w:val="24"/>
                <w:lang w:val="es-ES" w:eastAsia="es-ES"/>
              </w:rPr>
            </w:pPr>
          </w:p>
        </w:tc>
        <w:tc>
          <w:tcPr>
            <w:tcW w:w="2475" w:type="dxa"/>
            <w:tcBorders>
              <w:top w:val="nil"/>
              <w:left w:val="nil"/>
              <w:right w:val="nil"/>
            </w:tcBorders>
            <w:shd w:val="clear" w:color="auto" w:fill="auto"/>
          </w:tcPr>
          <w:p w:rsidR="008603A4" w:rsidRPr="008E4DF8" w:rsidRDefault="008603A4" w:rsidP="00B93E42">
            <w:pPr>
              <w:spacing w:after="0" w:line="360" w:lineRule="auto"/>
              <w:jc w:val="both"/>
              <w:rPr>
                <w:rFonts w:ascii="Arial" w:eastAsia="Times New Roman" w:hAnsi="Arial" w:cs="Arial"/>
                <w:color w:val="000000"/>
                <w:sz w:val="24"/>
                <w:szCs w:val="24"/>
                <w:lang w:val="es-ES" w:eastAsia="es-ES"/>
              </w:rPr>
            </w:pPr>
            <w:r w:rsidRPr="008E4DF8">
              <w:rPr>
                <w:rFonts w:ascii="Arial" w:eastAsia="Times New Roman" w:hAnsi="Arial" w:cs="Arial"/>
                <w:color w:val="000000"/>
                <w:sz w:val="24"/>
                <w:szCs w:val="24"/>
                <w:lang w:val="es-ES" w:eastAsia="es-ES"/>
              </w:rPr>
              <w:t>C</w:t>
            </w:r>
            <w:r w:rsidR="00B93E42" w:rsidRPr="008E4DF8">
              <w:rPr>
                <w:rFonts w:ascii="Arial" w:eastAsia="Times New Roman" w:hAnsi="Arial" w:cs="Arial"/>
                <w:color w:val="000000"/>
                <w:sz w:val="24"/>
                <w:szCs w:val="24"/>
                <w:lang w:val="es-ES" w:eastAsia="es-ES"/>
              </w:rPr>
              <w:t>y</w:t>
            </w:r>
            <w:r w:rsidRPr="008E4DF8">
              <w:rPr>
                <w:rFonts w:ascii="Arial" w:eastAsia="Times New Roman" w:hAnsi="Arial" w:cs="Arial"/>
                <w:color w:val="000000"/>
                <w:sz w:val="24"/>
                <w:szCs w:val="24"/>
                <w:lang w:val="es-ES" w:eastAsia="es-ES"/>
              </w:rPr>
              <w:t>permethrin</w:t>
            </w:r>
          </w:p>
        </w:tc>
        <w:tc>
          <w:tcPr>
            <w:tcW w:w="3200" w:type="dxa"/>
            <w:tcBorders>
              <w:top w:val="nil"/>
              <w:left w:val="nil"/>
              <w:right w:val="nil"/>
            </w:tcBorders>
            <w:shd w:val="clear" w:color="auto" w:fill="auto"/>
          </w:tcPr>
          <w:p w:rsidR="008603A4" w:rsidRPr="008E4DF8" w:rsidRDefault="008603A4" w:rsidP="0007071A">
            <w:pPr>
              <w:spacing w:after="0" w:line="360" w:lineRule="auto"/>
              <w:jc w:val="both"/>
              <w:rPr>
                <w:rFonts w:ascii="Arial" w:eastAsia="Times New Roman" w:hAnsi="Arial" w:cs="Arial"/>
                <w:color w:val="000000"/>
                <w:sz w:val="24"/>
                <w:szCs w:val="24"/>
                <w:lang w:val="es-ES" w:eastAsia="es-ES"/>
              </w:rPr>
            </w:pPr>
            <w:r w:rsidRPr="008E4DF8">
              <w:rPr>
                <w:rFonts w:ascii="Arial" w:eastAsia="Times New Roman" w:hAnsi="Arial" w:cs="Arial"/>
                <w:color w:val="000000"/>
                <w:sz w:val="24"/>
                <w:szCs w:val="24"/>
                <w:lang w:val="es-ES" w:eastAsia="es-ES"/>
              </w:rPr>
              <w:t>0.3</w:t>
            </w:r>
            <w:r w:rsidR="000F2AD3">
              <w:rPr>
                <w:rFonts w:ascii="Arial" w:eastAsia="Times New Roman" w:hAnsi="Arial" w:cs="Arial"/>
                <w:color w:val="000000"/>
                <w:sz w:val="24"/>
                <w:szCs w:val="24"/>
                <w:lang w:val="es-ES" w:eastAsia="es-ES"/>
              </w:rPr>
              <w:t xml:space="preserve"> </w:t>
            </w:r>
            <w:r w:rsidRPr="008E4DF8">
              <w:rPr>
                <w:rFonts w:ascii="Arial" w:eastAsia="Times New Roman" w:hAnsi="Arial" w:cs="Arial"/>
                <w:color w:val="000000"/>
                <w:sz w:val="24"/>
                <w:szCs w:val="24"/>
                <w:lang w:val="es-ES" w:eastAsia="es-ES"/>
              </w:rPr>
              <w:t>%</w:t>
            </w:r>
          </w:p>
        </w:tc>
      </w:tr>
    </w:tbl>
    <w:p w:rsidR="008603A4" w:rsidRPr="004738BA" w:rsidRDefault="00A13B5D" w:rsidP="00032D8A">
      <w:pPr>
        <w:spacing w:line="360" w:lineRule="auto"/>
        <w:jc w:val="both"/>
        <w:rPr>
          <w:rFonts w:ascii="Times New Roman" w:hAnsi="Times New Roman" w:cs="Times New Roman"/>
          <w:sz w:val="24"/>
          <w:szCs w:val="24"/>
          <w:lang w:val="en-US"/>
        </w:rPr>
      </w:pPr>
      <w:r w:rsidRPr="004738BA">
        <w:rPr>
          <w:rFonts w:ascii="Times New Roman" w:hAnsi="Times New Roman" w:cs="Times New Roman"/>
          <w:sz w:val="24"/>
          <w:szCs w:val="24"/>
          <w:lang w:val="en-US"/>
        </w:rPr>
        <w:t>Table</w:t>
      </w:r>
      <w:r w:rsidR="008603A4" w:rsidRPr="004738BA">
        <w:rPr>
          <w:rFonts w:ascii="Times New Roman" w:hAnsi="Times New Roman" w:cs="Times New Roman"/>
          <w:sz w:val="24"/>
          <w:szCs w:val="24"/>
          <w:lang w:val="en-US"/>
        </w:rPr>
        <w:t xml:space="preserve">1. Discriminant doses for the control of </w:t>
      </w:r>
      <w:r w:rsidR="008603A4" w:rsidRPr="004738BA">
        <w:rPr>
          <w:rFonts w:ascii="Times New Roman" w:hAnsi="Times New Roman" w:cs="Times New Roman"/>
          <w:i/>
          <w:sz w:val="24"/>
          <w:szCs w:val="24"/>
          <w:lang w:val="en-US"/>
        </w:rPr>
        <w:t>Boophilus microplus</w:t>
      </w:r>
      <w:r w:rsidR="008603A4" w:rsidRPr="004738BA">
        <w:rPr>
          <w:rFonts w:ascii="Times New Roman" w:hAnsi="Times New Roman" w:cs="Times New Roman"/>
          <w:sz w:val="24"/>
          <w:szCs w:val="24"/>
          <w:lang w:val="en-US"/>
        </w:rPr>
        <w:t xml:space="preserve"> ticks recommended by the </w:t>
      </w:r>
      <w:r w:rsidR="00AB680B" w:rsidRPr="004738BA">
        <w:rPr>
          <w:rFonts w:ascii="Times New Roman" w:hAnsi="Times New Roman" w:cs="Times New Roman"/>
          <w:sz w:val="24"/>
          <w:szCs w:val="24"/>
          <w:lang w:val="en-US"/>
        </w:rPr>
        <w:t>National Center of Services of Verification in Animal Health CENAPA.</w:t>
      </w:r>
    </w:p>
    <w:p w:rsidR="00AB680B" w:rsidRPr="004738BA" w:rsidRDefault="00AB680B" w:rsidP="00032D8A">
      <w:pPr>
        <w:spacing w:line="360" w:lineRule="auto"/>
        <w:jc w:val="both"/>
        <w:rPr>
          <w:rFonts w:ascii="Times New Roman" w:hAnsi="Times New Roman" w:cs="Times New Roman"/>
          <w:sz w:val="24"/>
          <w:szCs w:val="24"/>
          <w:lang w:val="en-US"/>
        </w:rPr>
      </w:pPr>
      <w:r w:rsidRPr="004738BA">
        <w:rPr>
          <w:rFonts w:ascii="Times New Roman" w:hAnsi="Times New Roman" w:cs="Times New Roman"/>
          <w:sz w:val="24"/>
          <w:szCs w:val="24"/>
          <w:lang w:val="en-US"/>
        </w:rPr>
        <w:t xml:space="preserve">In the technique, number one Whatman paper of 7.5 x 8.5 cm was used, which was sprayed with Finney (1971) dose. The impregnation of the envelopes of the larvae package was done with a graduated micropipette of 1000 microliters </w:t>
      </w:r>
      <w:r w:rsidR="008651F5" w:rsidRPr="004738BA">
        <w:rPr>
          <w:rFonts w:ascii="Times New Roman" w:hAnsi="Times New Roman" w:cs="Times New Roman"/>
          <w:sz w:val="24"/>
          <w:szCs w:val="24"/>
          <w:lang w:val="en-US"/>
        </w:rPr>
        <w:t xml:space="preserve">capacity, being used with 0.67 microliters of the dilution of the filter papers soaked with the tick-killing agents. In all of the bioessays three repetitions were done for every dilution, including the controls, beginning with the highest concentration and finishing with the lowest. </w:t>
      </w:r>
    </w:p>
    <w:p w:rsidR="00EB7D7B" w:rsidRPr="004738BA" w:rsidRDefault="008651F5" w:rsidP="00032D8A">
      <w:pPr>
        <w:spacing w:line="360" w:lineRule="auto"/>
        <w:jc w:val="both"/>
        <w:rPr>
          <w:rFonts w:ascii="Times New Roman" w:hAnsi="Times New Roman" w:cs="Times New Roman"/>
          <w:sz w:val="24"/>
          <w:szCs w:val="24"/>
          <w:lang w:val="en-US"/>
        </w:rPr>
      </w:pPr>
      <w:r w:rsidRPr="004738BA">
        <w:rPr>
          <w:rFonts w:ascii="Times New Roman" w:hAnsi="Times New Roman" w:cs="Times New Roman"/>
          <w:sz w:val="24"/>
          <w:szCs w:val="24"/>
          <w:lang w:val="en-US"/>
        </w:rPr>
        <w:t>Once the papers were dry, they wer</w:t>
      </w:r>
      <w:r w:rsidR="00EB7D7B" w:rsidRPr="004738BA">
        <w:rPr>
          <w:rFonts w:ascii="Times New Roman" w:hAnsi="Times New Roman" w:cs="Times New Roman"/>
          <w:sz w:val="24"/>
          <w:szCs w:val="24"/>
          <w:lang w:val="en-US"/>
        </w:rPr>
        <w:t>e folded in the form of a package</w:t>
      </w:r>
      <w:r w:rsidRPr="004738BA">
        <w:rPr>
          <w:rFonts w:ascii="Times New Roman" w:hAnsi="Times New Roman" w:cs="Times New Roman"/>
          <w:sz w:val="24"/>
          <w:szCs w:val="24"/>
          <w:lang w:val="en-US"/>
        </w:rPr>
        <w:t>, closing them with snaps</w:t>
      </w:r>
      <w:r w:rsidR="00EB7D7B" w:rsidRPr="004738BA">
        <w:rPr>
          <w:rFonts w:ascii="Times New Roman" w:hAnsi="Times New Roman" w:cs="Times New Roman"/>
          <w:sz w:val="24"/>
          <w:szCs w:val="24"/>
          <w:lang w:val="en-US"/>
        </w:rPr>
        <w:t xml:space="preserve"> of 55 mm. Between 80 and 100 7 to 14 days old larvae approximately, were introduced with a brush in each package and later sealed with a snap. These larvae packages were incubated at a temperature of 28 </w:t>
      </w:r>
      <w:r w:rsidR="00EB7D7B" w:rsidRPr="004738BA">
        <w:rPr>
          <w:rFonts w:ascii="Times New Roman" w:hAnsi="Times New Roman" w:cs="Times New Roman"/>
          <w:sz w:val="24"/>
          <w:szCs w:val="24"/>
        </w:rPr>
        <w:sym w:font="Symbol" w:char="F0B1"/>
      </w:r>
      <w:r w:rsidR="00EB7D7B" w:rsidRPr="004738BA">
        <w:rPr>
          <w:rFonts w:ascii="Times New Roman" w:hAnsi="Times New Roman" w:cs="Times New Roman"/>
          <w:sz w:val="24"/>
          <w:szCs w:val="24"/>
          <w:lang w:val="en-US"/>
        </w:rPr>
        <w:t xml:space="preserve"> 2° C and relative humidity of 80 to 90</w:t>
      </w:r>
      <w:r w:rsidR="000F2AD3" w:rsidRPr="004738BA">
        <w:rPr>
          <w:rFonts w:ascii="Times New Roman" w:hAnsi="Times New Roman" w:cs="Times New Roman"/>
          <w:sz w:val="24"/>
          <w:szCs w:val="24"/>
          <w:lang w:val="en-US"/>
        </w:rPr>
        <w:t xml:space="preserve"> </w:t>
      </w:r>
      <w:r w:rsidR="00EB7D7B" w:rsidRPr="004738BA">
        <w:rPr>
          <w:rFonts w:ascii="Times New Roman" w:hAnsi="Times New Roman" w:cs="Times New Roman"/>
          <w:sz w:val="24"/>
          <w:szCs w:val="24"/>
          <w:lang w:val="en-US"/>
        </w:rPr>
        <w:t xml:space="preserve">% for 24 hours. At the end </w:t>
      </w:r>
      <w:r w:rsidR="00D02AD7" w:rsidRPr="004738BA">
        <w:rPr>
          <w:rFonts w:ascii="Times New Roman" w:hAnsi="Times New Roman" w:cs="Times New Roman"/>
          <w:sz w:val="24"/>
          <w:szCs w:val="24"/>
          <w:lang w:val="en-US"/>
        </w:rPr>
        <w:t xml:space="preserve">of the incubation or exposition time, alive and dead larvae were counted to determine the mortality percentage. </w:t>
      </w:r>
    </w:p>
    <w:p w:rsidR="00A43D08" w:rsidRPr="004738BA" w:rsidRDefault="00A43D08" w:rsidP="00032D8A">
      <w:pPr>
        <w:spacing w:line="360" w:lineRule="auto"/>
        <w:jc w:val="both"/>
        <w:rPr>
          <w:rFonts w:ascii="Times New Roman" w:hAnsi="Times New Roman" w:cs="Times New Roman"/>
          <w:sz w:val="24"/>
          <w:szCs w:val="24"/>
          <w:lang w:val="en-US"/>
        </w:rPr>
      </w:pPr>
      <w:r w:rsidRPr="004738BA">
        <w:rPr>
          <w:rFonts w:ascii="Times New Roman" w:hAnsi="Times New Roman" w:cs="Times New Roman"/>
          <w:sz w:val="24"/>
          <w:szCs w:val="24"/>
          <w:lang w:val="en-US"/>
        </w:rPr>
        <w:t>The mortality data were analyzed with the program “Statistical Package for the Social Science” (SPSS, Ver. 17), which provided measurements of the Medium Lethal Concentration (CL</w:t>
      </w:r>
      <w:r w:rsidRPr="004738BA">
        <w:rPr>
          <w:rFonts w:ascii="Times New Roman" w:hAnsi="Times New Roman" w:cs="Times New Roman"/>
          <w:sz w:val="24"/>
          <w:szCs w:val="24"/>
          <w:vertAlign w:val="subscript"/>
          <w:lang w:val="en-US"/>
        </w:rPr>
        <w:t>50</w:t>
      </w:r>
      <w:r w:rsidRPr="004738BA">
        <w:rPr>
          <w:rFonts w:ascii="Times New Roman" w:hAnsi="Times New Roman" w:cs="Times New Roman"/>
          <w:sz w:val="24"/>
          <w:szCs w:val="24"/>
          <w:lang w:val="en-US"/>
        </w:rPr>
        <w:t>) and the Lethal Concentration 99 (CL</w:t>
      </w:r>
      <w:r w:rsidRPr="004738BA">
        <w:rPr>
          <w:rFonts w:ascii="Times New Roman" w:hAnsi="Times New Roman" w:cs="Times New Roman"/>
          <w:sz w:val="24"/>
          <w:szCs w:val="24"/>
          <w:vertAlign w:val="subscript"/>
          <w:lang w:val="en-US"/>
        </w:rPr>
        <w:t>99</w:t>
      </w:r>
      <w:r w:rsidRPr="004738BA">
        <w:rPr>
          <w:rFonts w:ascii="Times New Roman" w:hAnsi="Times New Roman" w:cs="Times New Roman"/>
          <w:sz w:val="24"/>
          <w:szCs w:val="24"/>
          <w:lang w:val="en-US"/>
        </w:rPr>
        <w:t>) and their resp</w:t>
      </w:r>
      <w:r w:rsidR="00C92383" w:rsidRPr="004738BA">
        <w:rPr>
          <w:rFonts w:ascii="Times New Roman" w:hAnsi="Times New Roman" w:cs="Times New Roman"/>
          <w:sz w:val="24"/>
          <w:szCs w:val="24"/>
          <w:lang w:val="en-US"/>
        </w:rPr>
        <w:t>ective confidence limits to 95</w:t>
      </w:r>
      <w:r w:rsidR="000F2AD3" w:rsidRPr="004738BA">
        <w:rPr>
          <w:rFonts w:ascii="Times New Roman" w:hAnsi="Times New Roman" w:cs="Times New Roman"/>
          <w:sz w:val="24"/>
          <w:szCs w:val="24"/>
          <w:lang w:val="en-US"/>
        </w:rPr>
        <w:t xml:space="preserve"> </w:t>
      </w:r>
      <w:r w:rsidR="00C92383" w:rsidRPr="004738BA">
        <w:rPr>
          <w:rFonts w:ascii="Times New Roman" w:hAnsi="Times New Roman" w:cs="Times New Roman"/>
          <w:sz w:val="24"/>
          <w:szCs w:val="24"/>
          <w:lang w:val="en-US"/>
        </w:rPr>
        <w:t>% (</w:t>
      </w:r>
      <w:r w:rsidR="000F2AD3" w:rsidRPr="004738BA">
        <w:rPr>
          <w:rFonts w:ascii="Times New Roman" w:hAnsi="Times New Roman" w:cs="Times New Roman"/>
          <w:sz w:val="24"/>
          <w:szCs w:val="24"/>
          <w:lang w:val="en-US"/>
        </w:rPr>
        <w:t>t</w:t>
      </w:r>
      <w:r w:rsidR="00C92383" w:rsidRPr="004738BA">
        <w:rPr>
          <w:rFonts w:ascii="Times New Roman" w:hAnsi="Times New Roman" w:cs="Times New Roman"/>
          <w:sz w:val="24"/>
          <w:szCs w:val="24"/>
          <w:lang w:val="en-US"/>
        </w:rPr>
        <w:t>able 2).</w:t>
      </w:r>
    </w:p>
    <w:p w:rsidR="00A43D08" w:rsidRPr="008E4DF8" w:rsidRDefault="00A43D08" w:rsidP="00032D8A">
      <w:pPr>
        <w:spacing w:line="360" w:lineRule="auto"/>
        <w:jc w:val="both"/>
        <w:rPr>
          <w:rFonts w:ascii="Arial" w:eastAsia="Times New Roman" w:hAnsi="Arial" w:cs="Arial"/>
          <w:color w:val="000000"/>
          <w:sz w:val="24"/>
          <w:szCs w:val="24"/>
          <w:lang w:val="en-US" w:eastAsia="es-ES"/>
        </w:rPr>
      </w:pPr>
      <w:r w:rsidRPr="004738BA">
        <w:rPr>
          <w:rFonts w:ascii="Times New Roman" w:hAnsi="Times New Roman" w:cs="Times New Roman"/>
          <w:sz w:val="24"/>
          <w:szCs w:val="24"/>
          <w:lang w:val="en-US"/>
        </w:rPr>
        <w:t>The obtained results of CL</w:t>
      </w:r>
      <w:r w:rsidRPr="004738BA">
        <w:rPr>
          <w:rFonts w:ascii="Times New Roman" w:hAnsi="Times New Roman" w:cs="Times New Roman"/>
          <w:sz w:val="24"/>
          <w:szCs w:val="24"/>
          <w:vertAlign w:val="subscript"/>
          <w:lang w:val="en-US"/>
        </w:rPr>
        <w:t>50</w:t>
      </w:r>
      <w:r w:rsidR="00C92383" w:rsidRPr="004738BA">
        <w:rPr>
          <w:rFonts w:ascii="Times New Roman" w:hAnsi="Times New Roman" w:cs="Times New Roman"/>
          <w:sz w:val="24"/>
          <w:szCs w:val="24"/>
          <w:vertAlign w:val="subscript"/>
          <w:lang w:val="en-US"/>
        </w:rPr>
        <w:t xml:space="preserve">  </w:t>
      </w:r>
      <w:r w:rsidR="00C92383" w:rsidRPr="004738BA">
        <w:rPr>
          <w:rFonts w:ascii="Times New Roman" w:hAnsi="Times New Roman" w:cs="Times New Roman"/>
          <w:sz w:val="24"/>
          <w:szCs w:val="24"/>
          <w:lang w:val="en-US"/>
        </w:rPr>
        <w:t>(</w:t>
      </w:r>
      <w:r w:rsidR="000F2AD3" w:rsidRPr="004738BA">
        <w:rPr>
          <w:rFonts w:ascii="Times New Roman" w:hAnsi="Times New Roman" w:cs="Times New Roman"/>
          <w:sz w:val="24"/>
          <w:szCs w:val="24"/>
          <w:lang w:val="en-US"/>
        </w:rPr>
        <w:t>f</w:t>
      </w:r>
      <w:r w:rsidR="00C92383" w:rsidRPr="004738BA">
        <w:rPr>
          <w:rFonts w:ascii="Times New Roman" w:hAnsi="Times New Roman" w:cs="Times New Roman"/>
          <w:sz w:val="24"/>
          <w:szCs w:val="24"/>
          <w:lang w:val="en-US"/>
        </w:rPr>
        <w:t xml:space="preserve">igure 1), </w:t>
      </w:r>
      <w:r w:rsidRPr="004738BA">
        <w:rPr>
          <w:rFonts w:ascii="Times New Roman" w:hAnsi="Times New Roman" w:cs="Times New Roman"/>
          <w:sz w:val="24"/>
          <w:szCs w:val="24"/>
          <w:lang w:val="en-US"/>
        </w:rPr>
        <w:t>showed a greatest susceptibilit</w:t>
      </w:r>
      <w:r w:rsidR="00B93E42" w:rsidRPr="004738BA">
        <w:rPr>
          <w:rFonts w:ascii="Times New Roman" w:hAnsi="Times New Roman" w:cs="Times New Roman"/>
          <w:sz w:val="24"/>
          <w:szCs w:val="24"/>
          <w:lang w:val="en-US"/>
        </w:rPr>
        <w:t xml:space="preserve">y to Deltamethrin, followed by </w:t>
      </w:r>
      <w:r w:rsidR="00B93E42" w:rsidRPr="004738BA">
        <w:rPr>
          <w:rFonts w:ascii="Times New Roman" w:eastAsia="Times New Roman" w:hAnsi="Times New Roman" w:cs="Times New Roman"/>
          <w:color w:val="000000"/>
          <w:sz w:val="24"/>
          <w:szCs w:val="24"/>
          <w:lang w:val="en-US" w:eastAsia="es-ES"/>
        </w:rPr>
        <w:t xml:space="preserve">Chlorfenvinphos, in third place Diazinon, then Flumethrin, Cypermethrin, in sixth place Lindane and a minor toxicological action for the Coumaphos (Asuntol). These </w:t>
      </w:r>
      <w:r w:rsidR="00B93E42" w:rsidRPr="004738BA">
        <w:rPr>
          <w:rFonts w:ascii="Times New Roman" w:eastAsia="Times New Roman" w:hAnsi="Times New Roman" w:cs="Times New Roman"/>
          <w:color w:val="000000"/>
          <w:sz w:val="24"/>
          <w:szCs w:val="24"/>
          <w:lang w:val="en-US" w:eastAsia="es-ES"/>
        </w:rPr>
        <w:lastRenderedPageBreak/>
        <w:t xml:space="preserve">populations are not homogeneous and </w:t>
      </w:r>
      <w:r w:rsidR="00647574" w:rsidRPr="004738BA">
        <w:rPr>
          <w:rFonts w:ascii="Times New Roman" w:eastAsia="Times New Roman" w:hAnsi="Times New Roman" w:cs="Times New Roman"/>
          <w:color w:val="000000"/>
          <w:sz w:val="24"/>
          <w:szCs w:val="24"/>
          <w:lang w:val="en-US" w:eastAsia="es-ES"/>
        </w:rPr>
        <w:t>with certain short-term stress</w:t>
      </w:r>
      <w:r w:rsidR="00B93E42" w:rsidRPr="004738BA">
        <w:rPr>
          <w:rFonts w:ascii="Times New Roman" w:eastAsia="Times New Roman" w:hAnsi="Times New Roman" w:cs="Times New Roman"/>
          <w:color w:val="000000"/>
          <w:sz w:val="24"/>
          <w:szCs w:val="24"/>
          <w:lang w:val="en-US" w:eastAsia="es-ES"/>
        </w:rPr>
        <w:t xml:space="preserve"> they could turn into resistant ticks</w:t>
      </w:r>
      <w:r w:rsidR="00B93E42" w:rsidRPr="008E4DF8">
        <w:rPr>
          <w:rFonts w:ascii="Arial" w:eastAsia="Times New Roman" w:hAnsi="Arial" w:cs="Arial"/>
          <w:color w:val="000000"/>
          <w:sz w:val="24"/>
          <w:szCs w:val="24"/>
          <w:lang w:val="en-US" w:eastAsia="es-ES"/>
        </w:rPr>
        <w:t xml:space="preserve">. </w:t>
      </w:r>
    </w:p>
    <w:tbl>
      <w:tblPr>
        <w:tblStyle w:val="Tablaconcuadrcula"/>
        <w:tblW w:w="0" w:type="auto"/>
        <w:tblLook w:val="04A0" w:firstRow="1" w:lastRow="0" w:firstColumn="1" w:lastColumn="0" w:noHBand="0" w:noVBand="1"/>
      </w:tblPr>
      <w:tblGrid>
        <w:gridCol w:w="2376"/>
        <w:gridCol w:w="3609"/>
        <w:gridCol w:w="2993"/>
      </w:tblGrid>
      <w:tr w:rsidR="00B93E42" w:rsidRPr="008E4DF8" w:rsidTr="0007071A">
        <w:tc>
          <w:tcPr>
            <w:tcW w:w="2376" w:type="dxa"/>
            <w:tcBorders>
              <w:left w:val="nil"/>
              <w:bottom w:val="single" w:sz="4" w:space="0" w:color="auto"/>
              <w:right w:val="nil"/>
            </w:tcBorders>
          </w:tcPr>
          <w:p w:rsidR="00B93E42" w:rsidRPr="008E4DF8" w:rsidRDefault="00B93E42" w:rsidP="0007071A">
            <w:pPr>
              <w:spacing w:line="360" w:lineRule="auto"/>
              <w:rPr>
                <w:rFonts w:ascii="Arial" w:hAnsi="Arial" w:cs="Arial"/>
                <w:sz w:val="24"/>
                <w:szCs w:val="24"/>
              </w:rPr>
            </w:pPr>
            <w:r w:rsidRPr="008E4DF8">
              <w:rPr>
                <w:rFonts w:ascii="Arial" w:hAnsi="Arial" w:cs="Arial"/>
                <w:sz w:val="24"/>
                <w:szCs w:val="24"/>
              </w:rPr>
              <w:t>Tick-killing Agents</w:t>
            </w:r>
          </w:p>
        </w:tc>
        <w:tc>
          <w:tcPr>
            <w:tcW w:w="3609" w:type="dxa"/>
            <w:tcBorders>
              <w:left w:val="nil"/>
              <w:bottom w:val="single" w:sz="4" w:space="0" w:color="auto"/>
              <w:right w:val="nil"/>
            </w:tcBorders>
          </w:tcPr>
          <w:p w:rsidR="00B93E42" w:rsidRPr="008E4DF8" w:rsidRDefault="00B93E42" w:rsidP="0007071A">
            <w:pPr>
              <w:spacing w:line="360" w:lineRule="auto"/>
              <w:rPr>
                <w:rFonts w:ascii="Arial" w:hAnsi="Arial" w:cs="Arial"/>
                <w:sz w:val="24"/>
                <w:szCs w:val="24"/>
              </w:rPr>
            </w:pPr>
            <w:r w:rsidRPr="008E4DF8">
              <w:rPr>
                <w:rFonts w:ascii="Arial" w:hAnsi="Arial" w:cs="Arial"/>
                <w:sz w:val="24"/>
                <w:szCs w:val="24"/>
              </w:rPr>
              <w:t>CL</w:t>
            </w:r>
            <w:r w:rsidRPr="008E4DF8">
              <w:rPr>
                <w:rFonts w:ascii="Arial" w:hAnsi="Arial" w:cs="Arial"/>
                <w:sz w:val="24"/>
                <w:szCs w:val="24"/>
                <w:vertAlign w:val="subscript"/>
              </w:rPr>
              <w:t>50</w:t>
            </w:r>
          </w:p>
        </w:tc>
        <w:tc>
          <w:tcPr>
            <w:tcW w:w="2993" w:type="dxa"/>
            <w:tcBorders>
              <w:left w:val="nil"/>
              <w:bottom w:val="single" w:sz="4" w:space="0" w:color="auto"/>
              <w:right w:val="nil"/>
            </w:tcBorders>
          </w:tcPr>
          <w:p w:rsidR="00B93E42" w:rsidRPr="008E4DF8" w:rsidRDefault="00B93E42" w:rsidP="0007071A">
            <w:pPr>
              <w:spacing w:line="360" w:lineRule="auto"/>
              <w:rPr>
                <w:rFonts w:ascii="Arial" w:hAnsi="Arial" w:cs="Arial"/>
                <w:sz w:val="24"/>
                <w:szCs w:val="24"/>
              </w:rPr>
            </w:pPr>
            <w:r w:rsidRPr="008E4DF8">
              <w:rPr>
                <w:rFonts w:ascii="Arial" w:hAnsi="Arial" w:cs="Arial"/>
                <w:sz w:val="24"/>
                <w:szCs w:val="24"/>
              </w:rPr>
              <w:t>CL</w:t>
            </w:r>
            <w:r w:rsidRPr="008E4DF8">
              <w:rPr>
                <w:rFonts w:ascii="Arial" w:hAnsi="Arial" w:cs="Arial"/>
                <w:sz w:val="24"/>
                <w:szCs w:val="24"/>
                <w:vertAlign w:val="subscript"/>
              </w:rPr>
              <w:t>99</w:t>
            </w:r>
          </w:p>
        </w:tc>
      </w:tr>
      <w:tr w:rsidR="00B93E42" w:rsidRPr="008E4DF8" w:rsidTr="0007071A">
        <w:tc>
          <w:tcPr>
            <w:tcW w:w="2376" w:type="dxa"/>
            <w:tcBorders>
              <w:left w:val="nil"/>
              <w:bottom w:val="nil"/>
              <w:right w:val="nil"/>
            </w:tcBorders>
          </w:tcPr>
          <w:p w:rsidR="00B93E42" w:rsidRPr="008E4DF8" w:rsidRDefault="00B93E42" w:rsidP="0007071A">
            <w:pPr>
              <w:spacing w:line="360" w:lineRule="auto"/>
              <w:rPr>
                <w:rFonts w:ascii="Arial" w:hAnsi="Arial" w:cs="Arial"/>
                <w:sz w:val="24"/>
                <w:szCs w:val="24"/>
              </w:rPr>
            </w:pPr>
            <w:r w:rsidRPr="008E4DF8">
              <w:rPr>
                <w:rFonts w:ascii="Arial" w:hAnsi="Arial" w:cs="Arial"/>
                <w:sz w:val="24"/>
                <w:szCs w:val="24"/>
              </w:rPr>
              <w:t>Deltamethrin</w:t>
            </w:r>
          </w:p>
        </w:tc>
        <w:tc>
          <w:tcPr>
            <w:tcW w:w="3609" w:type="dxa"/>
            <w:tcBorders>
              <w:left w:val="nil"/>
              <w:bottom w:val="nil"/>
              <w:right w:val="nil"/>
            </w:tcBorders>
          </w:tcPr>
          <w:p w:rsidR="00B93E42" w:rsidRPr="008E4DF8" w:rsidRDefault="00B93E42" w:rsidP="0007071A">
            <w:pPr>
              <w:spacing w:line="360" w:lineRule="auto"/>
              <w:rPr>
                <w:rFonts w:ascii="Arial" w:hAnsi="Arial" w:cs="Arial"/>
                <w:sz w:val="24"/>
                <w:szCs w:val="24"/>
              </w:rPr>
            </w:pPr>
            <w:r w:rsidRPr="008E4DF8">
              <w:rPr>
                <w:rFonts w:ascii="Arial" w:hAnsi="Arial" w:cs="Arial"/>
                <w:sz w:val="24"/>
                <w:szCs w:val="24"/>
              </w:rPr>
              <w:t>0.00005 (              )</w:t>
            </w:r>
          </w:p>
        </w:tc>
        <w:tc>
          <w:tcPr>
            <w:tcW w:w="2993" w:type="dxa"/>
            <w:tcBorders>
              <w:left w:val="nil"/>
              <w:bottom w:val="nil"/>
              <w:right w:val="nil"/>
            </w:tcBorders>
          </w:tcPr>
          <w:p w:rsidR="00B93E42" w:rsidRPr="008E4DF8" w:rsidRDefault="00B93E42" w:rsidP="0007071A">
            <w:pPr>
              <w:spacing w:line="360" w:lineRule="auto"/>
              <w:rPr>
                <w:rFonts w:ascii="Arial" w:hAnsi="Arial" w:cs="Arial"/>
                <w:sz w:val="24"/>
                <w:szCs w:val="24"/>
              </w:rPr>
            </w:pPr>
            <w:r w:rsidRPr="008E4DF8">
              <w:rPr>
                <w:rFonts w:ascii="Arial" w:hAnsi="Arial" w:cs="Arial"/>
                <w:sz w:val="24"/>
                <w:szCs w:val="24"/>
              </w:rPr>
              <w:t>0.0015 (0.001, 0.002)</w:t>
            </w:r>
          </w:p>
        </w:tc>
      </w:tr>
      <w:tr w:rsidR="00B93E42" w:rsidRPr="008E4DF8" w:rsidTr="0007071A">
        <w:tc>
          <w:tcPr>
            <w:tcW w:w="2376" w:type="dxa"/>
            <w:tcBorders>
              <w:top w:val="nil"/>
              <w:left w:val="nil"/>
              <w:bottom w:val="nil"/>
              <w:right w:val="nil"/>
            </w:tcBorders>
          </w:tcPr>
          <w:p w:rsidR="00B93E42" w:rsidRPr="008E4DF8" w:rsidRDefault="00B93E42" w:rsidP="0007071A">
            <w:pPr>
              <w:spacing w:line="360" w:lineRule="auto"/>
              <w:rPr>
                <w:rFonts w:ascii="Arial" w:hAnsi="Arial" w:cs="Arial"/>
                <w:sz w:val="24"/>
                <w:szCs w:val="24"/>
              </w:rPr>
            </w:pPr>
            <w:r w:rsidRPr="008E4DF8">
              <w:rPr>
                <w:rFonts w:ascii="Arial" w:eastAsia="Times New Roman" w:hAnsi="Arial" w:cs="Arial"/>
                <w:color w:val="000000"/>
                <w:sz w:val="24"/>
                <w:szCs w:val="24"/>
                <w:lang w:val="en-US" w:eastAsia="es-ES"/>
              </w:rPr>
              <w:t>Chlorfenvinphos</w:t>
            </w:r>
          </w:p>
        </w:tc>
        <w:tc>
          <w:tcPr>
            <w:tcW w:w="3609" w:type="dxa"/>
            <w:tcBorders>
              <w:top w:val="nil"/>
              <w:left w:val="nil"/>
              <w:bottom w:val="nil"/>
              <w:right w:val="nil"/>
            </w:tcBorders>
          </w:tcPr>
          <w:p w:rsidR="00B93E42" w:rsidRPr="008E4DF8" w:rsidRDefault="00B93E42" w:rsidP="0007071A">
            <w:pPr>
              <w:spacing w:line="360" w:lineRule="auto"/>
              <w:rPr>
                <w:rFonts w:ascii="Arial" w:hAnsi="Arial" w:cs="Arial"/>
                <w:sz w:val="24"/>
                <w:szCs w:val="24"/>
              </w:rPr>
            </w:pPr>
            <w:r w:rsidRPr="008E4DF8">
              <w:rPr>
                <w:rFonts w:ascii="Arial" w:hAnsi="Arial" w:cs="Arial"/>
                <w:sz w:val="24"/>
                <w:szCs w:val="24"/>
              </w:rPr>
              <w:t>0.008 (0.002, 0.013)</w:t>
            </w:r>
          </w:p>
        </w:tc>
        <w:tc>
          <w:tcPr>
            <w:tcW w:w="2993" w:type="dxa"/>
            <w:tcBorders>
              <w:top w:val="nil"/>
              <w:left w:val="nil"/>
              <w:bottom w:val="nil"/>
              <w:right w:val="nil"/>
            </w:tcBorders>
          </w:tcPr>
          <w:p w:rsidR="00B93E42" w:rsidRPr="008E4DF8" w:rsidRDefault="00B93E42" w:rsidP="0007071A">
            <w:pPr>
              <w:spacing w:line="360" w:lineRule="auto"/>
              <w:rPr>
                <w:rFonts w:ascii="Arial" w:hAnsi="Arial" w:cs="Arial"/>
                <w:sz w:val="24"/>
                <w:szCs w:val="24"/>
              </w:rPr>
            </w:pPr>
            <w:r w:rsidRPr="008E4DF8">
              <w:rPr>
                <w:rFonts w:ascii="Arial" w:hAnsi="Arial" w:cs="Arial"/>
                <w:sz w:val="24"/>
                <w:szCs w:val="24"/>
              </w:rPr>
              <w:t>0.030 (0.021, 0.071)</w:t>
            </w:r>
          </w:p>
        </w:tc>
      </w:tr>
      <w:tr w:rsidR="00B93E42" w:rsidRPr="008E4DF8" w:rsidTr="0007071A">
        <w:tc>
          <w:tcPr>
            <w:tcW w:w="2376" w:type="dxa"/>
            <w:tcBorders>
              <w:top w:val="nil"/>
              <w:left w:val="nil"/>
              <w:bottom w:val="nil"/>
              <w:right w:val="nil"/>
            </w:tcBorders>
          </w:tcPr>
          <w:p w:rsidR="00B93E42" w:rsidRPr="008E4DF8" w:rsidRDefault="00B93E42" w:rsidP="0007071A">
            <w:pPr>
              <w:spacing w:line="360" w:lineRule="auto"/>
              <w:rPr>
                <w:rFonts w:ascii="Arial" w:hAnsi="Arial" w:cs="Arial"/>
                <w:sz w:val="24"/>
                <w:szCs w:val="24"/>
              </w:rPr>
            </w:pPr>
            <w:r w:rsidRPr="008E4DF8">
              <w:rPr>
                <w:rFonts w:ascii="Arial" w:hAnsi="Arial" w:cs="Arial"/>
                <w:sz w:val="24"/>
                <w:szCs w:val="24"/>
              </w:rPr>
              <w:t>Diazinon</w:t>
            </w:r>
          </w:p>
        </w:tc>
        <w:tc>
          <w:tcPr>
            <w:tcW w:w="3609" w:type="dxa"/>
            <w:tcBorders>
              <w:top w:val="nil"/>
              <w:left w:val="nil"/>
              <w:bottom w:val="nil"/>
              <w:right w:val="nil"/>
            </w:tcBorders>
          </w:tcPr>
          <w:p w:rsidR="00B93E42" w:rsidRPr="008E4DF8" w:rsidRDefault="00B93E42" w:rsidP="0007071A">
            <w:pPr>
              <w:spacing w:line="360" w:lineRule="auto"/>
              <w:rPr>
                <w:rFonts w:ascii="Arial" w:hAnsi="Arial" w:cs="Arial"/>
                <w:sz w:val="24"/>
                <w:szCs w:val="24"/>
              </w:rPr>
            </w:pPr>
            <w:r w:rsidRPr="008E4DF8">
              <w:rPr>
                <w:rFonts w:ascii="Arial" w:hAnsi="Arial" w:cs="Arial"/>
                <w:sz w:val="24"/>
                <w:szCs w:val="24"/>
              </w:rPr>
              <w:t>0.008 (0.004, 0.017)</w:t>
            </w:r>
          </w:p>
        </w:tc>
        <w:tc>
          <w:tcPr>
            <w:tcW w:w="2993" w:type="dxa"/>
            <w:tcBorders>
              <w:top w:val="nil"/>
              <w:left w:val="nil"/>
              <w:bottom w:val="nil"/>
              <w:right w:val="nil"/>
            </w:tcBorders>
          </w:tcPr>
          <w:p w:rsidR="00B93E42" w:rsidRPr="008E4DF8" w:rsidRDefault="00B93E42" w:rsidP="0007071A">
            <w:pPr>
              <w:spacing w:line="360" w:lineRule="auto"/>
              <w:rPr>
                <w:rFonts w:ascii="Arial" w:hAnsi="Arial" w:cs="Arial"/>
                <w:sz w:val="24"/>
                <w:szCs w:val="24"/>
              </w:rPr>
            </w:pPr>
            <w:r w:rsidRPr="008E4DF8">
              <w:rPr>
                <w:rFonts w:ascii="Arial" w:hAnsi="Arial" w:cs="Arial"/>
                <w:sz w:val="24"/>
                <w:szCs w:val="24"/>
              </w:rPr>
              <w:t>0.027 (0.018, 0.078)</w:t>
            </w:r>
          </w:p>
        </w:tc>
      </w:tr>
      <w:tr w:rsidR="00B93E42" w:rsidRPr="008E4DF8" w:rsidTr="0007071A">
        <w:tc>
          <w:tcPr>
            <w:tcW w:w="2376" w:type="dxa"/>
            <w:tcBorders>
              <w:top w:val="nil"/>
              <w:left w:val="nil"/>
              <w:bottom w:val="nil"/>
              <w:right w:val="nil"/>
            </w:tcBorders>
          </w:tcPr>
          <w:p w:rsidR="00B93E42" w:rsidRPr="008E4DF8" w:rsidRDefault="00B93E42" w:rsidP="0007071A">
            <w:pPr>
              <w:spacing w:line="360" w:lineRule="auto"/>
              <w:rPr>
                <w:rFonts w:ascii="Arial" w:hAnsi="Arial" w:cs="Arial"/>
                <w:sz w:val="24"/>
                <w:szCs w:val="24"/>
              </w:rPr>
            </w:pPr>
            <w:r w:rsidRPr="008E4DF8">
              <w:rPr>
                <w:rFonts w:ascii="Arial" w:hAnsi="Arial" w:cs="Arial"/>
                <w:sz w:val="24"/>
                <w:szCs w:val="24"/>
              </w:rPr>
              <w:t>Flumethrin</w:t>
            </w:r>
          </w:p>
        </w:tc>
        <w:tc>
          <w:tcPr>
            <w:tcW w:w="3609" w:type="dxa"/>
            <w:tcBorders>
              <w:top w:val="nil"/>
              <w:left w:val="nil"/>
              <w:bottom w:val="nil"/>
              <w:right w:val="nil"/>
            </w:tcBorders>
          </w:tcPr>
          <w:p w:rsidR="00B93E42" w:rsidRPr="008E4DF8" w:rsidRDefault="00B93E42" w:rsidP="0007071A">
            <w:pPr>
              <w:spacing w:line="360" w:lineRule="auto"/>
              <w:rPr>
                <w:rFonts w:ascii="Arial" w:hAnsi="Arial" w:cs="Arial"/>
                <w:sz w:val="24"/>
                <w:szCs w:val="24"/>
              </w:rPr>
            </w:pPr>
            <w:r w:rsidRPr="008E4DF8">
              <w:rPr>
                <w:rFonts w:ascii="Arial" w:hAnsi="Arial" w:cs="Arial"/>
                <w:sz w:val="24"/>
                <w:szCs w:val="24"/>
              </w:rPr>
              <w:t>0.0027 (-0.003, 0.006)</w:t>
            </w:r>
          </w:p>
        </w:tc>
        <w:tc>
          <w:tcPr>
            <w:tcW w:w="2993" w:type="dxa"/>
            <w:tcBorders>
              <w:top w:val="nil"/>
              <w:left w:val="nil"/>
              <w:bottom w:val="nil"/>
              <w:right w:val="nil"/>
            </w:tcBorders>
          </w:tcPr>
          <w:p w:rsidR="00B93E42" w:rsidRPr="008E4DF8" w:rsidRDefault="00B93E42" w:rsidP="0007071A">
            <w:pPr>
              <w:spacing w:line="360" w:lineRule="auto"/>
              <w:rPr>
                <w:rFonts w:ascii="Arial" w:hAnsi="Arial" w:cs="Arial"/>
                <w:sz w:val="24"/>
                <w:szCs w:val="24"/>
              </w:rPr>
            </w:pPr>
            <w:r w:rsidRPr="008E4DF8">
              <w:rPr>
                <w:rFonts w:ascii="Arial" w:hAnsi="Arial" w:cs="Arial"/>
                <w:sz w:val="24"/>
                <w:szCs w:val="24"/>
              </w:rPr>
              <w:t>0.015 (0.009, 0.072)</w:t>
            </w:r>
          </w:p>
        </w:tc>
      </w:tr>
      <w:tr w:rsidR="00B93E42" w:rsidRPr="008E4DF8" w:rsidTr="0007071A">
        <w:tc>
          <w:tcPr>
            <w:tcW w:w="2376" w:type="dxa"/>
            <w:tcBorders>
              <w:top w:val="nil"/>
              <w:left w:val="nil"/>
              <w:bottom w:val="nil"/>
              <w:right w:val="nil"/>
            </w:tcBorders>
          </w:tcPr>
          <w:p w:rsidR="00B93E42" w:rsidRPr="008E4DF8" w:rsidRDefault="00B93E42" w:rsidP="00B93E42">
            <w:pPr>
              <w:spacing w:line="360" w:lineRule="auto"/>
              <w:rPr>
                <w:rFonts w:ascii="Arial" w:hAnsi="Arial" w:cs="Arial"/>
                <w:sz w:val="24"/>
                <w:szCs w:val="24"/>
              </w:rPr>
            </w:pPr>
            <w:r w:rsidRPr="008E4DF8">
              <w:rPr>
                <w:rFonts w:ascii="Arial" w:hAnsi="Arial" w:cs="Arial"/>
                <w:sz w:val="24"/>
                <w:szCs w:val="24"/>
              </w:rPr>
              <w:t>Cypermethrin</w:t>
            </w:r>
          </w:p>
        </w:tc>
        <w:tc>
          <w:tcPr>
            <w:tcW w:w="3609" w:type="dxa"/>
            <w:tcBorders>
              <w:top w:val="nil"/>
              <w:left w:val="nil"/>
              <w:bottom w:val="nil"/>
              <w:right w:val="nil"/>
            </w:tcBorders>
          </w:tcPr>
          <w:p w:rsidR="00B93E42" w:rsidRPr="008E4DF8" w:rsidRDefault="00B93E42" w:rsidP="0007071A">
            <w:pPr>
              <w:spacing w:line="360" w:lineRule="auto"/>
              <w:rPr>
                <w:rFonts w:ascii="Arial" w:hAnsi="Arial" w:cs="Arial"/>
                <w:sz w:val="24"/>
                <w:szCs w:val="24"/>
              </w:rPr>
            </w:pPr>
            <w:r w:rsidRPr="008E4DF8">
              <w:rPr>
                <w:rFonts w:ascii="Arial" w:hAnsi="Arial" w:cs="Arial"/>
                <w:sz w:val="24"/>
                <w:szCs w:val="24"/>
              </w:rPr>
              <w:t>0.017 (0.028, 0.056)</w:t>
            </w:r>
          </w:p>
        </w:tc>
        <w:tc>
          <w:tcPr>
            <w:tcW w:w="2993" w:type="dxa"/>
            <w:tcBorders>
              <w:top w:val="nil"/>
              <w:left w:val="nil"/>
              <w:bottom w:val="nil"/>
              <w:right w:val="nil"/>
            </w:tcBorders>
          </w:tcPr>
          <w:p w:rsidR="00B93E42" w:rsidRPr="008E4DF8" w:rsidRDefault="00B93E42" w:rsidP="0007071A">
            <w:pPr>
              <w:spacing w:line="360" w:lineRule="auto"/>
              <w:rPr>
                <w:rFonts w:ascii="Arial" w:hAnsi="Arial" w:cs="Arial"/>
                <w:sz w:val="24"/>
                <w:szCs w:val="24"/>
              </w:rPr>
            </w:pPr>
            <w:r w:rsidRPr="008E4DF8">
              <w:rPr>
                <w:rFonts w:ascii="Arial" w:hAnsi="Arial" w:cs="Arial"/>
                <w:sz w:val="24"/>
                <w:szCs w:val="24"/>
              </w:rPr>
              <w:t>0.085 (0.051, 0.815)</w:t>
            </w:r>
          </w:p>
        </w:tc>
      </w:tr>
      <w:tr w:rsidR="00B93E42" w:rsidRPr="008E4DF8" w:rsidTr="0007071A">
        <w:tc>
          <w:tcPr>
            <w:tcW w:w="2376" w:type="dxa"/>
            <w:tcBorders>
              <w:top w:val="nil"/>
              <w:left w:val="nil"/>
              <w:bottom w:val="nil"/>
              <w:right w:val="nil"/>
            </w:tcBorders>
          </w:tcPr>
          <w:p w:rsidR="00B93E42" w:rsidRPr="008E4DF8" w:rsidRDefault="00B93E42" w:rsidP="0007071A">
            <w:pPr>
              <w:spacing w:line="360" w:lineRule="auto"/>
              <w:rPr>
                <w:rFonts w:ascii="Arial" w:hAnsi="Arial" w:cs="Arial"/>
                <w:sz w:val="24"/>
                <w:szCs w:val="24"/>
              </w:rPr>
            </w:pPr>
            <w:r w:rsidRPr="008E4DF8">
              <w:rPr>
                <w:rFonts w:ascii="Arial" w:hAnsi="Arial" w:cs="Arial"/>
                <w:sz w:val="24"/>
                <w:szCs w:val="24"/>
              </w:rPr>
              <w:t>Lindane</w:t>
            </w:r>
          </w:p>
        </w:tc>
        <w:tc>
          <w:tcPr>
            <w:tcW w:w="3609" w:type="dxa"/>
            <w:tcBorders>
              <w:top w:val="nil"/>
              <w:left w:val="nil"/>
              <w:bottom w:val="nil"/>
              <w:right w:val="nil"/>
            </w:tcBorders>
          </w:tcPr>
          <w:p w:rsidR="00B93E42" w:rsidRPr="008E4DF8" w:rsidRDefault="00B93E42" w:rsidP="0007071A">
            <w:pPr>
              <w:spacing w:line="360" w:lineRule="auto"/>
              <w:rPr>
                <w:rFonts w:ascii="Arial" w:hAnsi="Arial" w:cs="Arial"/>
                <w:sz w:val="24"/>
                <w:szCs w:val="24"/>
              </w:rPr>
            </w:pPr>
            <w:r w:rsidRPr="008E4DF8">
              <w:rPr>
                <w:rFonts w:ascii="Arial" w:hAnsi="Arial" w:cs="Arial"/>
                <w:sz w:val="24"/>
                <w:szCs w:val="24"/>
              </w:rPr>
              <w:t>0.012 (0.010, 0.013)</w:t>
            </w:r>
          </w:p>
        </w:tc>
        <w:tc>
          <w:tcPr>
            <w:tcW w:w="2993" w:type="dxa"/>
            <w:tcBorders>
              <w:top w:val="nil"/>
              <w:left w:val="nil"/>
              <w:bottom w:val="nil"/>
              <w:right w:val="nil"/>
            </w:tcBorders>
          </w:tcPr>
          <w:p w:rsidR="00B93E42" w:rsidRPr="008E4DF8" w:rsidRDefault="00B93E42" w:rsidP="0007071A">
            <w:pPr>
              <w:spacing w:line="360" w:lineRule="auto"/>
              <w:rPr>
                <w:rFonts w:ascii="Arial" w:hAnsi="Arial" w:cs="Arial"/>
                <w:sz w:val="24"/>
                <w:szCs w:val="24"/>
              </w:rPr>
            </w:pPr>
            <w:r w:rsidRPr="008E4DF8">
              <w:rPr>
                <w:rFonts w:ascii="Arial" w:hAnsi="Arial" w:cs="Arial"/>
                <w:sz w:val="24"/>
                <w:szCs w:val="24"/>
              </w:rPr>
              <w:t>0.035 (0.031, 0.041)</w:t>
            </w:r>
          </w:p>
        </w:tc>
      </w:tr>
      <w:tr w:rsidR="00B93E42" w:rsidRPr="008E4DF8" w:rsidTr="0007071A">
        <w:tc>
          <w:tcPr>
            <w:tcW w:w="2376" w:type="dxa"/>
            <w:tcBorders>
              <w:top w:val="nil"/>
              <w:left w:val="nil"/>
              <w:bottom w:val="single" w:sz="4" w:space="0" w:color="auto"/>
              <w:right w:val="nil"/>
            </w:tcBorders>
          </w:tcPr>
          <w:p w:rsidR="00B93E42" w:rsidRPr="008E4DF8" w:rsidRDefault="00B93E42" w:rsidP="0007071A">
            <w:pPr>
              <w:spacing w:line="360" w:lineRule="auto"/>
              <w:rPr>
                <w:rFonts w:ascii="Arial" w:hAnsi="Arial" w:cs="Arial"/>
                <w:sz w:val="24"/>
                <w:szCs w:val="24"/>
              </w:rPr>
            </w:pPr>
            <w:r w:rsidRPr="008E4DF8">
              <w:rPr>
                <w:rFonts w:ascii="Arial" w:eastAsia="Times New Roman" w:hAnsi="Arial" w:cs="Arial"/>
                <w:color w:val="000000"/>
                <w:sz w:val="24"/>
                <w:szCs w:val="24"/>
                <w:lang w:val="en-US" w:eastAsia="es-ES"/>
              </w:rPr>
              <w:t xml:space="preserve">Coumaphos </w:t>
            </w:r>
            <w:r w:rsidRPr="008E4DF8">
              <w:rPr>
                <w:rFonts w:ascii="Arial" w:hAnsi="Arial" w:cs="Arial"/>
                <w:sz w:val="24"/>
                <w:szCs w:val="24"/>
              </w:rPr>
              <w:t>(Asuntol)</w:t>
            </w:r>
          </w:p>
        </w:tc>
        <w:tc>
          <w:tcPr>
            <w:tcW w:w="3609" w:type="dxa"/>
            <w:tcBorders>
              <w:top w:val="nil"/>
              <w:left w:val="nil"/>
              <w:bottom w:val="single" w:sz="4" w:space="0" w:color="auto"/>
              <w:right w:val="nil"/>
            </w:tcBorders>
          </w:tcPr>
          <w:p w:rsidR="00B93E42" w:rsidRPr="008E4DF8" w:rsidRDefault="00B93E42" w:rsidP="0007071A">
            <w:pPr>
              <w:spacing w:line="360" w:lineRule="auto"/>
              <w:rPr>
                <w:rFonts w:ascii="Arial" w:hAnsi="Arial" w:cs="Arial"/>
                <w:sz w:val="24"/>
                <w:szCs w:val="24"/>
              </w:rPr>
            </w:pPr>
            <w:r w:rsidRPr="008E4DF8">
              <w:rPr>
                <w:rFonts w:ascii="Arial" w:hAnsi="Arial" w:cs="Arial"/>
                <w:sz w:val="24"/>
                <w:szCs w:val="24"/>
              </w:rPr>
              <w:t>0.010 (0.009, 0.012)</w:t>
            </w:r>
          </w:p>
        </w:tc>
        <w:tc>
          <w:tcPr>
            <w:tcW w:w="2993" w:type="dxa"/>
            <w:tcBorders>
              <w:top w:val="nil"/>
              <w:left w:val="nil"/>
              <w:bottom w:val="single" w:sz="4" w:space="0" w:color="auto"/>
              <w:right w:val="nil"/>
            </w:tcBorders>
          </w:tcPr>
          <w:p w:rsidR="00B93E42" w:rsidRPr="008E4DF8" w:rsidRDefault="00B93E42" w:rsidP="0007071A">
            <w:pPr>
              <w:spacing w:line="360" w:lineRule="auto"/>
              <w:rPr>
                <w:rFonts w:ascii="Arial" w:hAnsi="Arial" w:cs="Arial"/>
                <w:sz w:val="24"/>
                <w:szCs w:val="24"/>
              </w:rPr>
            </w:pPr>
            <w:r w:rsidRPr="008E4DF8">
              <w:rPr>
                <w:rFonts w:ascii="Arial" w:hAnsi="Arial" w:cs="Arial"/>
                <w:sz w:val="24"/>
                <w:szCs w:val="24"/>
              </w:rPr>
              <w:t>0.035 (0.031, 0.042</w:t>
            </w:r>
          </w:p>
        </w:tc>
      </w:tr>
    </w:tbl>
    <w:p w:rsidR="00B93E42" w:rsidRPr="004738BA" w:rsidRDefault="00B93E42" w:rsidP="00032D8A">
      <w:pPr>
        <w:spacing w:line="360" w:lineRule="auto"/>
        <w:jc w:val="both"/>
        <w:rPr>
          <w:rFonts w:ascii="Times New Roman" w:hAnsi="Times New Roman" w:cs="Times New Roman"/>
          <w:sz w:val="24"/>
          <w:szCs w:val="24"/>
          <w:lang w:val="en-US"/>
        </w:rPr>
      </w:pPr>
      <w:r w:rsidRPr="004738BA">
        <w:rPr>
          <w:rFonts w:ascii="Times New Roman" w:hAnsi="Times New Roman" w:cs="Times New Roman"/>
          <w:sz w:val="24"/>
          <w:szCs w:val="24"/>
          <w:lang w:val="en-US"/>
        </w:rPr>
        <w:t>Table 2. Lethal Concentration 50 (Cl</w:t>
      </w:r>
      <w:r w:rsidRPr="004738BA">
        <w:rPr>
          <w:rFonts w:ascii="Times New Roman" w:hAnsi="Times New Roman" w:cs="Times New Roman"/>
          <w:sz w:val="24"/>
          <w:szCs w:val="24"/>
          <w:vertAlign w:val="subscript"/>
          <w:lang w:val="en-US"/>
        </w:rPr>
        <w:t>50</w:t>
      </w:r>
      <w:r w:rsidRPr="004738BA">
        <w:rPr>
          <w:rFonts w:ascii="Times New Roman" w:hAnsi="Times New Roman" w:cs="Times New Roman"/>
          <w:sz w:val="24"/>
          <w:szCs w:val="24"/>
          <w:lang w:val="en-US"/>
        </w:rPr>
        <w:t>) and 99 (Cl</w:t>
      </w:r>
      <w:r w:rsidRPr="004738BA">
        <w:rPr>
          <w:rFonts w:ascii="Times New Roman" w:hAnsi="Times New Roman" w:cs="Times New Roman"/>
          <w:sz w:val="24"/>
          <w:szCs w:val="24"/>
          <w:vertAlign w:val="subscript"/>
          <w:lang w:val="en-US"/>
        </w:rPr>
        <w:t>99</w:t>
      </w:r>
      <w:r w:rsidRPr="004738BA">
        <w:rPr>
          <w:rFonts w:ascii="Times New Roman" w:hAnsi="Times New Roman" w:cs="Times New Roman"/>
          <w:sz w:val="24"/>
          <w:szCs w:val="24"/>
          <w:lang w:val="en-US"/>
        </w:rPr>
        <w:t xml:space="preserve">) with their confidence limits to common use tick-killing agents in </w:t>
      </w:r>
      <w:r w:rsidRPr="004738BA">
        <w:rPr>
          <w:rFonts w:ascii="Times New Roman" w:hAnsi="Times New Roman" w:cs="Times New Roman"/>
          <w:i/>
          <w:sz w:val="24"/>
          <w:szCs w:val="24"/>
          <w:lang w:val="en-US"/>
        </w:rPr>
        <w:t>Boophilus microplus</w:t>
      </w:r>
      <w:r w:rsidRPr="004738BA">
        <w:rPr>
          <w:rFonts w:ascii="Times New Roman" w:hAnsi="Times New Roman" w:cs="Times New Roman"/>
          <w:sz w:val="24"/>
          <w:szCs w:val="24"/>
          <w:lang w:val="en-US"/>
        </w:rPr>
        <w:t xml:space="preserve">. </w:t>
      </w:r>
    </w:p>
    <w:p w:rsidR="00EB7D7B" w:rsidRPr="008E4DF8" w:rsidRDefault="00B93E42" w:rsidP="00032D8A">
      <w:pPr>
        <w:spacing w:line="360" w:lineRule="auto"/>
        <w:jc w:val="both"/>
        <w:rPr>
          <w:rFonts w:ascii="Arial" w:hAnsi="Arial" w:cs="Arial"/>
          <w:sz w:val="24"/>
          <w:szCs w:val="24"/>
        </w:rPr>
      </w:pPr>
      <w:r w:rsidRPr="008E4DF8">
        <w:rPr>
          <w:rFonts w:ascii="Arial" w:hAnsi="Arial" w:cs="Arial"/>
          <w:sz w:val="24"/>
          <w:szCs w:val="24"/>
        </w:rPr>
        <w:object w:dxaOrig="7408" w:dyaOrig="5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9.75pt;height:291pt" o:ole="">
            <v:imagedata r:id="rId8" o:title=""/>
          </v:shape>
          <o:OLEObject Type="Embed" ProgID="STATISTICA.Graph" ShapeID="_x0000_i1026" DrawAspect="Content" ObjectID="_1550916991" r:id="rId9">
            <o:FieldCodes>\s</o:FieldCodes>
          </o:OLEObject>
        </w:object>
      </w:r>
    </w:p>
    <w:p w:rsidR="00B93E42" w:rsidRPr="004738BA" w:rsidRDefault="00B93E42" w:rsidP="004738BA">
      <w:pPr>
        <w:spacing w:line="360" w:lineRule="auto"/>
        <w:jc w:val="both"/>
        <w:rPr>
          <w:rFonts w:ascii="Times New Roman" w:eastAsia="Times New Roman" w:hAnsi="Times New Roman" w:cs="Times New Roman"/>
          <w:color w:val="000000"/>
          <w:sz w:val="24"/>
          <w:szCs w:val="24"/>
          <w:lang w:val="en-US" w:eastAsia="es-ES"/>
        </w:rPr>
      </w:pPr>
      <w:r w:rsidRPr="004738BA">
        <w:rPr>
          <w:rFonts w:ascii="Times New Roman" w:hAnsi="Times New Roman" w:cs="Times New Roman"/>
          <w:sz w:val="24"/>
          <w:szCs w:val="24"/>
          <w:lang w:val="en-US"/>
        </w:rPr>
        <w:t xml:space="preserve">Figure 1. Lines of mortality dose obtained for </w:t>
      </w:r>
      <w:r w:rsidRPr="004738BA">
        <w:rPr>
          <w:rFonts w:ascii="Times New Roman" w:hAnsi="Times New Roman" w:cs="Times New Roman"/>
          <w:i/>
          <w:sz w:val="24"/>
          <w:szCs w:val="24"/>
          <w:lang w:val="en-US"/>
        </w:rPr>
        <w:t>Boophilus microplus</w:t>
      </w:r>
      <w:r w:rsidRPr="004738BA">
        <w:rPr>
          <w:rFonts w:ascii="Times New Roman" w:hAnsi="Times New Roman" w:cs="Times New Roman"/>
          <w:sz w:val="24"/>
          <w:szCs w:val="24"/>
          <w:lang w:val="en-US"/>
        </w:rPr>
        <w:t xml:space="preserve"> for Lindane, </w:t>
      </w:r>
      <w:r w:rsidRPr="004738BA">
        <w:rPr>
          <w:rFonts w:ascii="Times New Roman" w:eastAsia="Times New Roman" w:hAnsi="Times New Roman" w:cs="Times New Roman"/>
          <w:color w:val="000000"/>
          <w:sz w:val="24"/>
          <w:szCs w:val="24"/>
          <w:lang w:val="en-US" w:eastAsia="es-ES"/>
        </w:rPr>
        <w:t xml:space="preserve">Coumaphos, Diazinon, Deltamethrin, Cypermethrin, Chlorfenvinphos and Flumethrin. </w:t>
      </w:r>
    </w:p>
    <w:p w:rsidR="00B93E42" w:rsidRPr="004738BA" w:rsidRDefault="00B93E42" w:rsidP="004738BA">
      <w:pPr>
        <w:spacing w:line="360" w:lineRule="auto"/>
        <w:jc w:val="both"/>
        <w:rPr>
          <w:rFonts w:ascii="Times New Roman" w:eastAsia="Times New Roman" w:hAnsi="Times New Roman" w:cs="Times New Roman"/>
          <w:b/>
          <w:color w:val="000000"/>
          <w:sz w:val="24"/>
          <w:szCs w:val="24"/>
          <w:lang w:val="en-US" w:eastAsia="es-ES"/>
        </w:rPr>
      </w:pPr>
      <w:r w:rsidRPr="004738BA">
        <w:rPr>
          <w:rFonts w:ascii="Times New Roman" w:eastAsia="Times New Roman" w:hAnsi="Times New Roman" w:cs="Times New Roman"/>
          <w:b/>
          <w:color w:val="000000"/>
          <w:sz w:val="24"/>
          <w:szCs w:val="24"/>
          <w:lang w:val="en-US" w:eastAsia="es-ES"/>
        </w:rPr>
        <w:lastRenderedPageBreak/>
        <w:t>Discussion</w:t>
      </w:r>
    </w:p>
    <w:p w:rsidR="00B93E42" w:rsidRPr="004738BA" w:rsidRDefault="00B93E42" w:rsidP="004738BA">
      <w:pPr>
        <w:spacing w:line="360" w:lineRule="auto"/>
        <w:jc w:val="both"/>
        <w:rPr>
          <w:rFonts w:ascii="Times New Roman" w:hAnsi="Times New Roman" w:cs="Times New Roman"/>
          <w:sz w:val="24"/>
          <w:szCs w:val="24"/>
          <w:lang w:val="en-US"/>
        </w:rPr>
      </w:pPr>
      <w:r w:rsidRPr="004738BA">
        <w:rPr>
          <w:rFonts w:ascii="Times New Roman" w:hAnsi="Times New Roman" w:cs="Times New Roman"/>
          <w:sz w:val="24"/>
          <w:szCs w:val="24"/>
          <w:lang w:val="en-US"/>
        </w:rPr>
        <w:t xml:space="preserve">The results of the present study showed varying degrees of susceptibility of </w:t>
      </w:r>
      <w:r w:rsidRPr="004738BA">
        <w:rPr>
          <w:rFonts w:ascii="Times New Roman" w:hAnsi="Times New Roman" w:cs="Times New Roman"/>
          <w:i/>
          <w:sz w:val="24"/>
          <w:szCs w:val="24"/>
          <w:lang w:val="en-US"/>
        </w:rPr>
        <w:t xml:space="preserve">B. microplus </w:t>
      </w:r>
      <w:r w:rsidRPr="004738BA">
        <w:rPr>
          <w:rFonts w:ascii="Times New Roman" w:hAnsi="Times New Roman" w:cs="Times New Roman"/>
          <w:sz w:val="24"/>
          <w:szCs w:val="24"/>
          <w:lang w:val="en-US"/>
        </w:rPr>
        <w:t>to the evaluated tick-killing agents</w:t>
      </w:r>
      <w:r w:rsidR="007414C5" w:rsidRPr="004738BA">
        <w:rPr>
          <w:rFonts w:ascii="Times New Roman" w:hAnsi="Times New Roman" w:cs="Times New Roman"/>
          <w:sz w:val="24"/>
          <w:szCs w:val="24"/>
          <w:lang w:val="en-US"/>
        </w:rPr>
        <w:t>, even when a minor response was obtained with Asuntol, expected result as it is the most common product in the control of ticks through the larval immersion technique (Aguirre et</w:t>
      </w:r>
      <w:r w:rsidR="00B174EA" w:rsidRPr="004738BA">
        <w:rPr>
          <w:rFonts w:ascii="Times New Roman" w:hAnsi="Times New Roman" w:cs="Times New Roman"/>
          <w:sz w:val="24"/>
          <w:szCs w:val="24"/>
          <w:lang w:val="en-US"/>
        </w:rPr>
        <w:t xml:space="preserve"> </w:t>
      </w:r>
      <w:r w:rsidR="007414C5" w:rsidRPr="004738BA">
        <w:rPr>
          <w:rFonts w:ascii="Times New Roman" w:hAnsi="Times New Roman" w:cs="Times New Roman"/>
          <w:sz w:val="24"/>
          <w:szCs w:val="24"/>
          <w:lang w:val="en-US"/>
        </w:rPr>
        <w:t>al., (1986);</w:t>
      </w:r>
      <w:r w:rsidR="00B174EA" w:rsidRPr="004738BA">
        <w:rPr>
          <w:rFonts w:ascii="Times New Roman" w:hAnsi="Times New Roman" w:cs="Times New Roman"/>
          <w:sz w:val="24"/>
          <w:szCs w:val="24"/>
          <w:lang w:val="en-US"/>
        </w:rPr>
        <w:t xml:space="preserve"> Ortiz et al., 1994; Rodríguez et al., 2005; and Marin</w:t>
      </w:r>
      <w:r w:rsidR="000F2AD3" w:rsidRPr="004738BA">
        <w:rPr>
          <w:rFonts w:ascii="Times New Roman" w:hAnsi="Times New Roman" w:cs="Times New Roman"/>
          <w:sz w:val="24"/>
          <w:szCs w:val="24"/>
          <w:lang w:val="en-US"/>
        </w:rPr>
        <w:t>,</w:t>
      </w:r>
      <w:r w:rsidR="00B174EA" w:rsidRPr="004738BA">
        <w:rPr>
          <w:rFonts w:ascii="Times New Roman" w:hAnsi="Times New Roman" w:cs="Times New Roman"/>
          <w:sz w:val="24"/>
          <w:szCs w:val="24"/>
          <w:lang w:val="en-US"/>
        </w:rPr>
        <w:t xml:space="preserve"> 2005), not being detected resistance in this species of ectoparasite.</w:t>
      </w:r>
    </w:p>
    <w:p w:rsidR="00B174EA" w:rsidRPr="004738BA" w:rsidRDefault="00B174EA" w:rsidP="004738BA">
      <w:pPr>
        <w:spacing w:line="360" w:lineRule="auto"/>
        <w:jc w:val="both"/>
        <w:rPr>
          <w:rFonts w:ascii="Times New Roman" w:eastAsia="Times New Roman" w:hAnsi="Times New Roman" w:cs="Times New Roman"/>
          <w:color w:val="000000"/>
          <w:sz w:val="24"/>
          <w:szCs w:val="24"/>
          <w:lang w:val="en-US" w:eastAsia="es-ES"/>
        </w:rPr>
      </w:pPr>
      <w:r w:rsidRPr="004738BA">
        <w:rPr>
          <w:rFonts w:ascii="Times New Roman" w:hAnsi="Times New Roman" w:cs="Times New Roman"/>
          <w:sz w:val="24"/>
          <w:szCs w:val="24"/>
          <w:lang w:val="en-US"/>
        </w:rPr>
        <w:t>The obtained results of CL</w:t>
      </w:r>
      <w:r w:rsidRPr="004738BA">
        <w:rPr>
          <w:rFonts w:ascii="Times New Roman" w:hAnsi="Times New Roman" w:cs="Times New Roman"/>
          <w:sz w:val="24"/>
          <w:szCs w:val="24"/>
          <w:vertAlign w:val="subscript"/>
          <w:lang w:val="en-US"/>
        </w:rPr>
        <w:t>50</w:t>
      </w:r>
      <w:r w:rsidRPr="004738BA">
        <w:rPr>
          <w:rFonts w:ascii="Times New Roman" w:hAnsi="Times New Roman" w:cs="Times New Roman"/>
          <w:sz w:val="24"/>
          <w:szCs w:val="24"/>
          <w:lang w:val="en-US"/>
        </w:rPr>
        <w:t xml:space="preserve"> showed a greater susceptibility to Deltamethrin, followed by </w:t>
      </w:r>
      <w:r w:rsidRPr="004738BA">
        <w:rPr>
          <w:rFonts w:ascii="Times New Roman" w:eastAsia="Times New Roman" w:hAnsi="Times New Roman" w:cs="Times New Roman"/>
          <w:color w:val="000000"/>
          <w:sz w:val="24"/>
          <w:szCs w:val="24"/>
          <w:lang w:val="en-US" w:eastAsia="es-ES"/>
        </w:rPr>
        <w:t>Chlorfenvinphos</w:t>
      </w:r>
      <w:r w:rsidR="00647574" w:rsidRPr="004738BA">
        <w:rPr>
          <w:rFonts w:ascii="Times New Roman" w:eastAsia="Times New Roman" w:hAnsi="Times New Roman" w:cs="Times New Roman"/>
          <w:color w:val="000000"/>
          <w:sz w:val="24"/>
          <w:szCs w:val="24"/>
          <w:lang w:val="en-US" w:eastAsia="es-ES"/>
        </w:rPr>
        <w:t>, in third place the Diazinon, then Flumethrin, Cypermethrin, in sixth place the Lindane and in a minor toxicological action for the Coumaphos (Asuntol). These populations are not homogeneous and with certain short-term stress they could turn into resistant ticks.</w:t>
      </w:r>
      <w:r w:rsidR="0060065D" w:rsidRPr="004738BA">
        <w:rPr>
          <w:rFonts w:ascii="Times New Roman" w:eastAsia="Times New Roman" w:hAnsi="Times New Roman" w:cs="Times New Roman"/>
          <w:color w:val="000000"/>
          <w:sz w:val="24"/>
          <w:szCs w:val="24"/>
          <w:lang w:val="en-US" w:eastAsia="es-ES"/>
        </w:rPr>
        <w:t xml:space="preserve"> Because of these results it is advisable to use other ixodicides family and appeal to integral ticks control methods (Rodriguez et al., 2005).</w:t>
      </w:r>
    </w:p>
    <w:p w:rsidR="0060065D" w:rsidRPr="008E4DF8" w:rsidRDefault="0060065D" w:rsidP="004738BA">
      <w:pPr>
        <w:spacing w:line="360" w:lineRule="auto"/>
        <w:jc w:val="both"/>
        <w:rPr>
          <w:rFonts w:ascii="Arial" w:eastAsia="Times New Roman" w:hAnsi="Arial" w:cs="Arial"/>
          <w:color w:val="000000"/>
          <w:sz w:val="24"/>
          <w:szCs w:val="24"/>
          <w:lang w:val="en-US" w:eastAsia="es-ES"/>
        </w:rPr>
      </w:pPr>
      <w:r w:rsidRPr="004738BA">
        <w:rPr>
          <w:rFonts w:ascii="Times New Roman" w:eastAsia="Times New Roman" w:hAnsi="Times New Roman" w:cs="Times New Roman"/>
          <w:color w:val="000000"/>
          <w:sz w:val="24"/>
          <w:szCs w:val="24"/>
          <w:lang w:val="en-US" w:eastAsia="es-ES"/>
        </w:rPr>
        <w:t>On the other hand, Kunz and Kemp (1994) mentioned that the development and the level of susceptibility to ixodicides in ticks populations depends on the frequency of resistant individuals in the population and the intensity of the selection stress e</w:t>
      </w:r>
      <w:r w:rsidR="007F7440" w:rsidRPr="004738BA">
        <w:rPr>
          <w:rFonts w:ascii="Times New Roman" w:eastAsia="Times New Roman" w:hAnsi="Times New Roman" w:cs="Times New Roman"/>
          <w:color w:val="000000"/>
          <w:sz w:val="24"/>
          <w:szCs w:val="24"/>
          <w:lang w:val="en-US" w:eastAsia="es-ES"/>
        </w:rPr>
        <w:t>xerted by the tick killing agent. These must be used in a rational way in ranches with populations classified as susceptible, considering that the ticks’ resistance to ixodicides persists up to 32 years (Davey et al., 2006).</w:t>
      </w:r>
    </w:p>
    <w:p w:rsidR="00A05F86" w:rsidRPr="008E4DF8" w:rsidRDefault="00A05F86" w:rsidP="00032D8A">
      <w:pPr>
        <w:spacing w:line="360" w:lineRule="auto"/>
        <w:jc w:val="both"/>
        <w:rPr>
          <w:rFonts w:ascii="Arial" w:eastAsia="Times New Roman" w:hAnsi="Arial" w:cs="Arial"/>
          <w:color w:val="000000"/>
          <w:sz w:val="24"/>
          <w:szCs w:val="24"/>
          <w:lang w:val="en-US" w:eastAsia="es-ES"/>
        </w:rPr>
      </w:pPr>
    </w:p>
    <w:p w:rsidR="00A05F86" w:rsidRPr="008E4DF8" w:rsidRDefault="00A05F86" w:rsidP="00032D8A">
      <w:pPr>
        <w:spacing w:line="360" w:lineRule="auto"/>
        <w:jc w:val="both"/>
        <w:rPr>
          <w:rFonts w:ascii="Arial" w:eastAsia="Times New Roman" w:hAnsi="Arial" w:cs="Arial"/>
          <w:color w:val="000000"/>
          <w:sz w:val="24"/>
          <w:szCs w:val="24"/>
          <w:lang w:val="en-US" w:eastAsia="es-ES"/>
        </w:rPr>
      </w:pPr>
    </w:p>
    <w:p w:rsidR="000F0683" w:rsidRPr="004738BA" w:rsidRDefault="004738BA" w:rsidP="000F0683">
      <w:pPr>
        <w:spacing w:line="36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Bibliography</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Aguirre, E.J., Sobrino, L., Santamaría, V.M., Aburto, S., Román, E., Hernández, M., Ortiz, M., Ortiz, N.A. (1986). Resistencia de garrapatas en México. In Seminario Internacional de Parasitología Animal, Memorias (ed. Cavazzani, A.H., García, Z.), 282–306. Cuernavaca, Morelos, México.</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lastRenderedPageBreak/>
        <w:t>Benavides, E. (2001b). Control de las pérdidas ocasionadas por los parásitos del ganado. Carta Fedegan, 69, 52-63.</w:t>
      </w:r>
    </w:p>
    <w:p w:rsidR="005621D9" w:rsidRPr="004738BA" w:rsidRDefault="005621D9"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Bennett, G. F. 1975 Boophilus microplus (canestrini: Ixodidae) on the bovine host distributien of stages during development. AScarologia 17: 43-52</w:t>
      </w:r>
      <w:r w:rsidR="00FB677C" w:rsidRPr="004738BA">
        <w:rPr>
          <w:color w:val="auto"/>
          <w:lang w:eastAsia="es-ES"/>
        </w:rPr>
        <w:t>.</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Bock, R.E.</w:t>
      </w:r>
      <w:r w:rsidR="00FB677C" w:rsidRPr="004738BA">
        <w:rPr>
          <w:color w:val="auto"/>
          <w:lang w:eastAsia="es-ES"/>
        </w:rPr>
        <w:t>,</w:t>
      </w:r>
      <w:r w:rsidRPr="004738BA">
        <w:rPr>
          <w:color w:val="auto"/>
          <w:lang w:eastAsia="es-ES"/>
        </w:rPr>
        <w:t xml:space="preserve"> Jackson, L.A.</w:t>
      </w:r>
      <w:r w:rsidR="00FB677C" w:rsidRPr="004738BA">
        <w:rPr>
          <w:color w:val="auto"/>
          <w:lang w:eastAsia="es-ES"/>
        </w:rPr>
        <w:t>,</w:t>
      </w:r>
      <w:r w:rsidRPr="004738BA">
        <w:rPr>
          <w:color w:val="auto"/>
          <w:lang w:eastAsia="es-ES"/>
        </w:rPr>
        <w:t xml:space="preserve"> De Vos, A.J.</w:t>
      </w:r>
      <w:r w:rsidR="00FB677C" w:rsidRPr="004738BA">
        <w:rPr>
          <w:color w:val="auto"/>
          <w:lang w:eastAsia="es-ES"/>
        </w:rPr>
        <w:t>,</w:t>
      </w:r>
      <w:r w:rsidRPr="004738BA">
        <w:rPr>
          <w:color w:val="auto"/>
          <w:lang w:eastAsia="es-ES"/>
        </w:rPr>
        <w:t xml:space="preserve"> Jorgensen, W.K. (2008). Babesiosis of Cattle. En: Bowman, A.</w:t>
      </w:r>
      <w:r w:rsidR="00FB677C" w:rsidRPr="004738BA">
        <w:rPr>
          <w:color w:val="auto"/>
          <w:lang w:eastAsia="es-ES"/>
        </w:rPr>
        <w:t>,</w:t>
      </w:r>
      <w:r w:rsidRPr="004738BA">
        <w:rPr>
          <w:color w:val="auto"/>
          <w:lang w:eastAsia="es-ES"/>
        </w:rPr>
        <w:t xml:space="preserve"> Nutall, P. (Eds.), Ticks: Biology, Disease and Control. Cambridge University Press. 325 p</w:t>
      </w:r>
      <w:r w:rsidR="00FB677C" w:rsidRPr="004738BA">
        <w:rPr>
          <w:color w:val="auto"/>
          <w:lang w:eastAsia="es-ES"/>
        </w:rPr>
        <w:t>p</w:t>
      </w:r>
      <w:r w:rsidRPr="004738BA">
        <w:rPr>
          <w:color w:val="auto"/>
          <w:lang w:eastAsia="es-ES"/>
        </w:rPr>
        <w:t>.</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Cen A. J., Rodríguez- Vivas R.I.</w:t>
      </w:r>
      <w:r w:rsidR="00FB677C" w:rsidRPr="004738BA">
        <w:rPr>
          <w:color w:val="auto"/>
          <w:lang w:eastAsia="es-ES"/>
        </w:rPr>
        <w:t>,</w:t>
      </w:r>
      <w:r w:rsidRPr="004738BA">
        <w:rPr>
          <w:color w:val="auto"/>
          <w:lang w:eastAsia="es-ES"/>
        </w:rPr>
        <w:t xml:space="preserve"> Domínguez A.J, and Wagner G. (1998). Studies on the effect on infection by Babesia sp on oviposition of Boophilus m</w:t>
      </w:r>
      <w:r w:rsidR="00FB677C" w:rsidRPr="004738BA">
        <w:rPr>
          <w:color w:val="auto"/>
          <w:lang w:eastAsia="es-ES"/>
        </w:rPr>
        <w:t>i</w:t>
      </w:r>
      <w:r w:rsidRPr="004738BA">
        <w:rPr>
          <w:color w:val="auto"/>
          <w:lang w:eastAsia="es-ES"/>
        </w:rPr>
        <w:t>croplus engorged fema</w:t>
      </w:r>
      <w:r w:rsidR="00FB677C" w:rsidRPr="004738BA">
        <w:rPr>
          <w:color w:val="auto"/>
          <w:lang w:eastAsia="es-ES"/>
        </w:rPr>
        <w:t>l</w:t>
      </w:r>
      <w:r w:rsidRPr="004738BA">
        <w:rPr>
          <w:color w:val="auto"/>
          <w:lang w:eastAsia="es-ES"/>
        </w:rPr>
        <w:t>es naturally infected in the Mexican tropics. Vet Parasitol; 253 -257.</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Davey R.B, George J.E, and Miller R.J (2006). Comparison of the reproductive biology between acaricide-resistant and acaricide</w:t>
      </w:r>
      <w:r w:rsidR="00FB677C" w:rsidRPr="004738BA">
        <w:rPr>
          <w:color w:val="auto"/>
          <w:lang w:eastAsia="es-ES"/>
        </w:rPr>
        <w:t xml:space="preserve"> </w:t>
      </w:r>
      <w:r w:rsidRPr="004738BA">
        <w:rPr>
          <w:color w:val="auto"/>
          <w:lang w:eastAsia="es-ES"/>
        </w:rPr>
        <w:t>susce</w:t>
      </w:r>
      <w:r w:rsidR="00267E67" w:rsidRPr="004738BA">
        <w:rPr>
          <w:color w:val="auto"/>
          <w:lang w:eastAsia="es-ES"/>
        </w:rPr>
        <w:t>ptible Rhipicephalus Boophilus</w:t>
      </w:r>
      <w:r w:rsidRPr="004738BA">
        <w:rPr>
          <w:color w:val="auto"/>
          <w:lang w:eastAsia="es-ES"/>
        </w:rPr>
        <w:t xml:space="preserve"> microplus (Acari: Ixodidae). Vet Parasitol (139):211-220.</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FAO (1984). Tick and Tick Borne Diseases Control: A Practical Field Manual (Vol. I-II): FAO-UNDP. p</w:t>
      </w:r>
      <w:r w:rsidR="009128F5" w:rsidRPr="004738BA">
        <w:rPr>
          <w:color w:val="auto"/>
          <w:lang w:eastAsia="es-ES"/>
        </w:rPr>
        <w:t>p</w:t>
      </w:r>
      <w:r w:rsidRPr="004738BA">
        <w:rPr>
          <w:color w:val="auto"/>
          <w:lang w:eastAsia="es-ES"/>
        </w:rPr>
        <w:t>. 297, 374-382.</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 xml:space="preserve">Finney, D.J. (1971). Probit analysis. 3ra </w:t>
      </w:r>
      <w:r w:rsidR="00FB677C" w:rsidRPr="004738BA">
        <w:rPr>
          <w:color w:val="auto"/>
          <w:lang w:eastAsia="es-ES"/>
        </w:rPr>
        <w:t>e</w:t>
      </w:r>
      <w:r w:rsidRPr="004738BA">
        <w:rPr>
          <w:color w:val="auto"/>
          <w:lang w:eastAsia="es-ES"/>
        </w:rPr>
        <w:t>d. United Kingdom: Cambridge University Press: 333</w:t>
      </w:r>
      <w:r w:rsidR="00FB677C" w:rsidRPr="004738BA">
        <w:rPr>
          <w:color w:val="auto"/>
          <w:lang w:eastAsia="es-ES"/>
        </w:rPr>
        <w:t>.</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 xml:space="preserve">Fragoso S H, C N Soberanes </w:t>
      </w:r>
      <w:r w:rsidR="00FB677C" w:rsidRPr="004738BA">
        <w:rPr>
          <w:color w:val="auto"/>
          <w:lang w:eastAsia="es-ES"/>
        </w:rPr>
        <w:t>(</w:t>
      </w:r>
      <w:r w:rsidRPr="004738BA">
        <w:rPr>
          <w:color w:val="auto"/>
          <w:lang w:eastAsia="es-ES"/>
        </w:rPr>
        <w:t>2001</w:t>
      </w:r>
      <w:r w:rsidR="00FB677C" w:rsidRPr="004738BA">
        <w:rPr>
          <w:color w:val="auto"/>
          <w:lang w:eastAsia="es-ES"/>
        </w:rPr>
        <w:t>)</w:t>
      </w:r>
      <w:r w:rsidRPr="004738BA">
        <w:rPr>
          <w:color w:val="auto"/>
          <w:lang w:eastAsia="es-ES"/>
        </w:rPr>
        <w:t>. Control de la resistencia a los ixodicidas a la luz de los conocimientos actuales. Memorias de XXV Congreso Nacional de Buiatria. Veracruz, Veracruz, México. Asociación Mexicana de Médicos especialistas en Bovinos, A.C.</w:t>
      </w:r>
      <w:r w:rsidR="00FB677C" w:rsidRPr="004738BA">
        <w:rPr>
          <w:color w:val="auto"/>
          <w:lang w:eastAsia="es-ES"/>
        </w:rPr>
        <w:t>,</w:t>
      </w:r>
      <w:r w:rsidRPr="004738BA">
        <w:rPr>
          <w:color w:val="auto"/>
          <w:lang w:eastAsia="es-ES"/>
        </w:rPr>
        <w:t xml:space="preserve"> </w:t>
      </w:r>
      <w:r w:rsidR="00FB677C" w:rsidRPr="004738BA">
        <w:rPr>
          <w:color w:val="auto"/>
          <w:lang w:eastAsia="es-ES"/>
        </w:rPr>
        <w:t>p</w:t>
      </w:r>
      <w:r w:rsidRPr="004738BA">
        <w:rPr>
          <w:color w:val="auto"/>
          <w:lang w:eastAsia="es-ES"/>
        </w:rPr>
        <w:t>p. 40-48.</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Guglielmone, A.A.</w:t>
      </w:r>
      <w:r w:rsidR="00FB677C" w:rsidRPr="004738BA">
        <w:rPr>
          <w:color w:val="auto"/>
          <w:lang w:eastAsia="es-ES"/>
        </w:rPr>
        <w:t>,</w:t>
      </w:r>
      <w:r w:rsidRPr="004738BA">
        <w:rPr>
          <w:color w:val="auto"/>
          <w:lang w:eastAsia="es-ES"/>
        </w:rPr>
        <w:t xml:space="preserve"> Bechara, G.H.</w:t>
      </w:r>
      <w:r w:rsidR="00FB677C" w:rsidRPr="004738BA">
        <w:rPr>
          <w:color w:val="auto"/>
          <w:lang w:eastAsia="es-ES"/>
        </w:rPr>
        <w:t>,</w:t>
      </w:r>
      <w:r w:rsidRPr="004738BA">
        <w:rPr>
          <w:color w:val="auto"/>
          <w:lang w:eastAsia="es-ES"/>
        </w:rPr>
        <w:t xml:space="preserve"> Szabó, M.P.</w:t>
      </w:r>
      <w:r w:rsidR="00FB677C" w:rsidRPr="004738BA">
        <w:rPr>
          <w:color w:val="auto"/>
          <w:lang w:eastAsia="es-ES"/>
        </w:rPr>
        <w:t>,</w:t>
      </w:r>
      <w:r w:rsidRPr="004738BA">
        <w:rPr>
          <w:color w:val="auto"/>
          <w:lang w:eastAsia="es-ES"/>
        </w:rPr>
        <w:t xml:space="preserve"> Barros, D.M.</w:t>
      </w:r>
      <w:r w:rsidR="00FB677C" w:rsidRPr="004738BA">
        <w:rPr>
          <w:color w:val="auto"/>
          <w:lang w:eastAsia="es-ES"/>
        </w:rPr>
        <w:t>,</w:t>
      </w:r>
      <w:r w:rsidRPr="004738BA">
        <w:rPr>
          <w:color w:val="auto"/>
          <w:lang w:eastAsia="es-ES"/>
        </w:rPr>
        <w:t xml:space="preserve"> Faccini, J.l.</w:t>
      </w:r>
      <w:r w:rsidR="00FB677C" w:rsidRPr="004738BA">
        <w:rPr>
          <w:color w:val="auto"/>
          <w:lang w:eastAsia="es-ES"/>
        </w:rPr>
        <w:t>,</w:t>
      </w:r>
      <w:r w:rsidRPr="004738BA">
        <w:rPr>
          <w:color w:val="auto"/>
          <w:lang w:eastAsia="es-ES"/>
        </w:rPr>
        <w:t xml:space="preserve"> Labruna, M.B.</w:t>
      </w:r>
      <w:r w:rsidR="00FB677C" w:rsidRPr="004738BA">
        <w:rPr>
          <w:color w:val="auto"/>
          <w:lang w:eastAsia="es-ES"/>
        </w:rPr>
        <w:t>,</w:t>
      </w:r>
      <w:r w:rsidRPr="004738BA">
        <w:rPr>
          <w:color w:val="auto"/>
          <w:lang w:eastAsia="es-ES"/>
        </w:rPr>
        <w:t xml:space="preserve"> De La Vega, R.</w:t>
      </w:r>
      <w:r w:rsidR="00FB677C" w:rsidRPr="004738BA">
        <w:rPr>
          <w:color w:val="auto"/>
          <w:lang w:eastAsia="es-ES"/>
        </w:rPr>
        <w:t>,</w:t>
      </w:r>
      <w:r w:rsidRPr="004738BA">
        <w:rPr>
          <w:color w:val="auto"/>
          <w:lang w:eastAsia="es-ES"/>
        </w:rPr>
        <w:t xml:space="preserve"> Arzua, M.</w:t>
      </w:r>
      <w:r w:rsidR="00FB677C" w:rsidRPr="004738BA">
        <w:rPr>
          <w:color w:val="auto"/>
          <w:lang w:eastAsia="es-ES"/>
        </w:rPr>
        <w:t>,</w:t>
      </w:r>
      <w:r w:rsidRPr="004738BA">
        <w:rPr>
          <w:color w:val="auto"/>
          <w:lang w:eastAsia="es-ES"/>
        </w:rPr>
        <w:t xml:space="preserve"> Campos, M.</w:t>
      </w:r>
      <w:r w:rsidR="00FB677C" w:rsidRPr="004738BA">
        <w:rPr>
          <w:color w:val="auto"/>
          <w:lang w:eastAsia="es-ES"/>
        </w:rPr>
        <w:t>,</w:t>
      </w:r>
      <w:r w:rsidRPr="004738BA">
        <w:rPr>
          <w:color w:val="auto"/>
          <w:lang w:eastAsia="es-ES"/>
        </w:rPr>
        <w:t xml:space="preserve"> Furlong, J.</w:t>
      </w:r>
      <w:r w:rsidR="00FB677C" w:rsidRPr="004738BA">
        <w:rPr>
          <w:color w:val="auto"/>
          <w:lang w:eastAsia="es-ES"/>
        </w:rPr>
        <w:t>,</w:t>
      </w:r>
      <w:r w:rsidRPr="004738BA">
        <w:rPr>
          <w:color w:val="auto"/>
          <w:lang w:eastAsia="es-ES"/>
        </w:rPr>
        <w:t xml:space="preserve"> Mangold, A.J.</w:t>
      </w:r>
      <w:r w:rsidR="00FB677C" w:rsidRPr="004738BA">
        <w:rPr>
          <w:color w:val="auto"/>
          <w:lang w:eastAsia="es-ES"/>
        </w:rPr>
        <w:t>,</w:t>
      </w:r>
      <w:r w:rsidRPr="004738BA">
        <w:rPr>
          <w:color w:val="auto"/>
          <w:lang w:eastAsia="es-ES"/>
        </w:rPr>
        <w:t xml:space="preserve"> Martins, J.</w:t>
      </w:r>
      <w:r w:rsidR="00FB677C" w:rsidRPr="004738BA">
        <w:rPr>
          <w:color w:val="auto"/>
          <w:lang w:eastAsia="es-ES"/>
        </w:rPr>
        <w:t>,</w:t>
      </w:r>
      <w:r w:rsidRPr="004738BA">
        <w:rPr>
          <w:color w:val="auto"/>
          <w:lang w:eastAsia="es-ES"/>
        </w:rPr>
        <w:t xml:space="preserve"> Rodríguez, M.</w:t>
      </w:r>
      <w:r w:rsidR="00FB677C" w:rsidRPr="004738BA">
        <w:rPr>
          <w:color w:val="auto"/>
          <w:lang w:eastAsia="es-ES"/>
        </w:rPr>
        <w:t>,</w:t>
      </w:r>
      <w:r w:rsidRPr="004738BA">
        <w:rPr>
          <w:color w:val="auto"/>
          <w:lang w:eastAsia="es-ES"/>
        </w:rPr>
        <w:t xml:space="preserve"> Venza, J.M.</w:t>
      </w:r>
      <w:r w:rsidR="00FB677C" w:rsidRPr="004738BA">
        <w:rPr>
          <w:color w:val="auto"/>
          <w:lang w:eastAsia="es-ES"/>
        </w:rPr>
        <w:t>,</w:t>
      </w:r>
      <w:r w:rsidRPr="004738BA">
        <w:rPr>
          <w:color w:val="auto"/>
          <w:lang w:eastAsia="es-ES"/>
        </w:rPr>
        <w:t xml:space="preserve"> Estrada-Peña, A. (2004). Garrapatas de importancia </w:t>
      </w:r>
      <w:r w:rsidRPr="004738BA">
        <w:rPr>
          <w:color w:val="auto"/>
          <w:lang w:eastAsia="es-ES"/>
        </w:rPr>
        <w:lastRenderedPageBreak/>
        <w:t>médica y veterinaria: América Latina y el Caribe. The Netherlands: International Consortium on Ticks and Tick–borne Diseases (ICTTD – 2). 173 p.</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Gug</w:t>
      </w:r>
      <w:r w:rsidR="00827EA0" w:rsidRPr="004738BA">
        <w:rPr>
          <w:color w:val="auto"/>
          <w:lang w:eastAsia="es-ES"/>
        </w:rPr>
        <w:t>lielmone, A.A.</w:t>
      </w:r>
      <w:r w:rsidR="00FB677C" w:rsidRPr="004738BA">
        <w:rPr>
          <w:color w:val="auto"/>
          <w:lang w:eastAsia="es-ES"/>
        </w:rPr>
        <w:t>,</w:t>
      </w:r>
      <w:r w:rsidR="00827EA0" w:rsidRPr="004738BA">
        <w:rPr>
          <w:color w:val="auto"/>
          <w:lang w:eastAsia="es-ES"/>
        </w:rPr>
        <w:t xml:space="preserve"> Estrada–Peña, A</w:t>
      </w:r>
      <w:r w:rsidR="00FB677C" w:rsidRPr="004738BA">
        <w:rPr>
          <w:color w:val="auto"/>
          <w:lang w:eastAsia="es-ES"/>
        </w:rPr>
        <w:t>,</w:t>
      </w:r>
      <w:r w:rsidRPr="004738BA">
        <w:rPr>
          <w:color w:val="auto"/>
          <w:lang w:eastAsia="es-ES"/>
        </w:rPr>
        <w:t xml:space="preserve"> Keirans, J.E.</w:t>
      </w:r>
      <w:r w:rsidR="00FB677C" w:rsidRPr="004738BA">
        <w:rPr>
          <w:color w:val="auto"/>
          <w:lang w:eastAsia="es-ES"/>
        </w:rPr>
        <w:t>,</w:t>
      </w:r>
      <w:r w:rsidRPr="004738BA">
        <w:rPr>
          <w:color w:val="auto"/>
          <w:lang w:eastAsia="es-ES"/>
        </w:rPr>
        <w:t xml:space="preserve"> Robbins, R.G. (2003). Ticks (Acari: Ixodidae) of the Neotropical Zoogeographic Region. The Netherlands: International Consortium on Ticks and Tick – borne Diseases (ICTTD – 2). 173 p.</w:t>
      </w:r>
    </w:p>
    <w:p w:rsidR="00EE4ECD" w:rsidRPr="004738BA" w:rsidRDefault="00EE4ECD"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Hernández</w:t>
      </w:r>
      <w:r w:rsidR="005621D9" w:rsidRPr="004738BA">
        <w:rPr>
          <w:color w:val="auto"/>
          <w:lang w:eastAsia="es-ES"/>
        </w:rPr>
        <w:t xml:space="preserve">, F. </w:t>
      </w:r>
      <w:r w:rsidR="00FB677C" w:rsidRPr="004738BA">
        <w:rPr>
          <w:color w:val="auto"/>
          <w:lang w:eastAsia="es-ES"/>
        </w:rPr>
        <w:t>(</w:t>
      </w:r>
      <w:r w:rsidR="005621D9" w:rsidRPr="004738BA">
        <w:rPr>
          <w:color w:val="auto"/>
          <w:lang w:eastAsia="es-ES"/>
        </w:rPr>
        <w:t>1978</w:t>
      </w:r>
      <w:r w:rsidR="00FB677C" w:rsidRPr="004738BA">
        <w:rPr>
          <w:color w:val="auto"/>
          <w:lang w:eastAsia="es-ES"/>
        </w:rPr>
        <w:t>)</w:t>
      </w:r>
      <w:r w:rsidR="005621D9" w:rsidRPr="004738BA">
        <w:rPr>
          <w:color w:val="auto"/>
          <w:lang w:eastAsia="es-ES"/>
        </w:rPr>
        <w:t xml:space="preserve"> Garrapatas (Acarina: Ixodoidea) del ganado bovino y algunos aspectos</w:t>
      </w:r>
      <w:r w:rsidRPr="004738BA">
        <w:rPr>
          <w:color w:val="auto"/>
          <w:lang w:eastAsia="es-ES"/>
        </w:rPr>
        <w:t xml:space="preserve"> de su control en el distrito Urdaneta. Estado de Zula. Venezuela. Trabajo de asenso Universidad del Zulia</w:t>
      </w:r>
      <w:r w:rsidR="00FB677C" w:rsidRPr="004738BA">
        <w:rPr>
          <w:color w:val="auto"/>
          <w:lang w:eastAsia="es-ES"/>
        </w:rPr>
        <w:t>,</w:t>
      </w:r>
      <w:r w:rsidRPr="004738BA">
        <w:rPr>
          <w:color w:val="auto"/>
          <w:lang w:eastAsia="es-ES"/>
        </w:rPr>
        <w:t xml:space="preserve"> 37</w:t>
      </w:r>
      <w:r w:rsidR="00FB677C" w:rsidRPr="004738BA">
        <w:rPr>
          <w:color w:val="auto"/>
          <w:lang w:eastAsia="es-ES"/>
        </w:rPr>
        <w:t xml:space="preserve"> </w:t>
      </w:r>
      <w:r w:rsidRPr="004738BA">
        <w:rPr>
          <w:color w:val="auto"/>
          <w:lang w:eastAsia="es-ES"/>
        </w:rPr>
        <w:t>p</w:t>
      </w:r>
      <w:r w:rsidR="00FB677C" w:rsidRPr="004738BA">
        <w:rPr>
          <w:color w:val="auto"/>
          <w:lang w:eastAsia="es-ES"/>
        </w:rPr>
        <w:t>.</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Hernández, F. (2005). Manual de ganadería doble propósito. El manejo</w:t>
      </w:r>
      <w:r w:rsidR="005621D9" w:rsidRPr="004738BA">
        <w:rPr>
          <w:color w:val="auto"/>
          <w:lang w:eastAsia="es-ES"/>
        </w:rPr>
        <w:t xml:space="preserve"> </w:t>
      </w:r>
      <w:r w:rsidRPr="004738BA">
        <w:rPr>
          <w:color w:val="auto"/>
          <w:lang w:eastAsia="es-ES"/>
        </w:rPr>
        <w:t>integrado en el control de garrapatas. Maracaibo (Venezuela)</w:t>
      </w:r>
      <w:r w:rsidR="00827EA0" w:rsidRPr="004738BA">
        <w:rPr>
          <w:color w:val="auto"/>
          <w:lang w:eastAsia="es-ES"/>
        </w:rPr>
        <w:t>: Universidad</w:t>
      </w:r>
      <w:r w:rsidRPr="004738BA">
        <w:rPr>
          <w:color w:val="auto"/>
          <w:lang w:eastAsia="es-ES"/>
        </w:rPr>
        <w:t xml:space="preserve"> del Zulia. p</w:t>
      </w:r>
      <w:r w:rsidR="009128F5" w:rsidRPr="004738BA">
        <w:rPr>
          <w:color w:val="auto"/>
          <w:lang w:eastAsia="es-ES"/>
        </w:rPr>
        <w:t>p</w:t>
      </w:r>
      <w:r w:rsidRPr="004738BA">
        <w:rPr>
          <w:color w:val="auto"/>
          <w:lang w:eastAsia="es-ES"/>
        </w:rPr>
        <w:t>. 384-391.</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Kocan, K.M.</w:t>
      </w:r>
      <w:r w:rsidR="00FB677C" w:rsidRPr="004738BA">
        <w:rPr>
          <w:color w:val="auto"/>
          <w:lang w:eastAsia="es-ES"/>
        </w:rPr>
        <w:t>,</w:t>
      </w:r>
      <w:r w:rsidRPr="004738BA">
        <w:rPr>
          <w:color w:val="auto"/>
          <w:lang w:eastAsia="es-ES"/>
        </w:rPr>
        <w:t xml:space="preserve"> De La Fuente, J.</w:t>
      </w:r>
      <w:r w:rsidR="00FB677C" w:rsidRPr="004738BA">
        <w:rPr>
          <w:color w:val="auto"/>
          <w:lang w:eastAsia="es-ES"/>
        </w:rPr>
        <w:t>,</w:t>
      </w:r>
      <w:r w:rsidRPr="004738BA">
        <w:rPr>
          <w:color w:val="auto"/>
          <w:lang w:eastAsia="es-ES"/>
        </w:rPr>
        <w:t xml:space="preserve"> Blouin, E.F. (2008). Characterization of the Tick-pathogen-host Interface of the Tick-borne Rickettsia Anaplasma marginale. En: Bowman, A, Nutall, P (Eds.), Ticks: Biology, Disease and Control. Cambridge University Press</w:t>
      </w:r>
      <w:r w:rsidR="00FB677C" w:rsidRPr="004738BA">
        <w:rPr>
          <w:color w:val="auto"/>
          <w:lang w:eastAsia="es-ES"/>
        </w:rPr>
        <w:t>,</w:t>
      </w:r>
      <w:r w:rsidRPr="004738BA">
        <w:rPr>
          <w:color w:val="auto"/>
          <w:lang w:eastAsia="es-ES"/>
        </w:rPr>
        <w:t xml:space="preserve"> 325 p</w:t>
      </w:r>
      <w:r w:rsidR="00FB677C" w:rsidRPr="004738BA">
        <w:rPr>
          <w:color w:val="auto"/>
          <w:lang w:eastAsia="es-ES"/>
        </w:rPr>
        <w:t>p</w:t>
      </w:r>
      <w:r w:rsidRPr="004738BA">
        <w:rPr>
          <w:color w:val="auto"/>
          <w:lang w:eastAsia="es-ES"/>
        </w:rPr>
        <w:t>.</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Kunz S.E and Kemp DH. (1994). Insecticides et acaricides: résistance et impact sur l’environnement. Revue Scientifique et Technique. OIE. (13):1249-1286.</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López, G.</w:t>
      </w:r>
      <w:r w:rsidR="00FB677C" w:rsidRPr="004738BA">
        <w:rPr>
          <w:color w:val="auto"/>
          <w:lang w:eastAsia="es-ES"/>
        </w:rPr>
        <w:t>,</w:t>
      </w:r>
      <w:r w:rsidRPr="004738BA">
        <w:rPr>
          <w:color w:val="auto"/>
          <w:lang w:eastAsia="es-ES"/>
        </w:rPr>
        <w:t xml:space="preserve"> Vizcaíno, O. (1992). Transmisión transovárica de Anaplasma marginale por la garrapata Boophilus microplus. Revista ICA, 27, 437-443.</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López, G. (1990). Identificación y distribución de garrapatas de bovinos en Colombia. Documento presentado en: Seminario Internacional sobre: diagnóstico, epidemiología y control de enfermedades parasitarias. Palmira, Valle del Cauca (Colombia)</w:t>
      </w:r>
      <w:r w:rsidR="00FB677C" w:rsidRPr="004738BA">
        <w:rPr>
          <w:color w:val="auto"/>
          <w:lang w:eastAsia="es-ES"/>
        </w:rPr>
        <w:t>,</w:t>
      </w:r>
      <w:r w:rsidRPr="004738BA">
        <w:rPr>
          <w:color w:val="auto"/>
          <w:lang w:eastAsia="es-ES"/>
        </w:rPr>
        <w:t xml:space="preserve"> </w:t>
      </w:r>
      <w:r w:rsidR="00FB677C" w:rsidRPr="004738BA">
        <w:rPr>
          <w:color w:val="auto"/>
          <w:lang w:eastAsia="es-ES"/>
        </w:rPr>
        <w:t>pp.</w:t>
      </w:r>
      <w:r w:rsidRPr="004738BA">
        <w:rPr>
          <w:color w:val="auto"/>
          <w:lang w:eastAsia="es-ES"/>
        </w:rPr>
        <w:t xml:space="preserve"> 28-49.</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Marín R. (2005). Resistencia a Ixodicidas en Garrapatas Boophilus microplus Laboratorio Central Regional de Monterrey, C.F.P.P</w:t>
      </w:r>
      <w:r w:rsidR="009128F5" w:rsidRPr="004738BA">
        <w:rPr>
          <w:color w:val="auto"/>
          <w:lang w:eastAsia="es-ES"/>
        </w:rPr>
        <w:t>,</w:t>
      </w:r>
      <w:r w:rsidRPr="004738BA">
        <w:rPr>
          <w:color w:val="auto"/>
          <w:lang w:eastAsia="es-ES"/>
        </w:rPr>
        <w:t xml:space="preserve"> p</w:t>
      </w:r>
      <w:r w:rsidR="009128F5" w:rsidRPr="004738BA">
        <w:rPr>
          <w:color w:val="auto"/>
          <w:lang w:eastAsia="es-ES"/>
        </w:rPr>
        <w:t>p</w:t>
      </w:r>
      <w:r w:rsidRPr="004738BA">
        <w:rPr>
          <w:color w:val="auto"/>
          <w:lang w:eastAsia="es-ES"/>
        </w:rPr>
        <w:t>.1-5.</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lastRenderedPageBreak/>
        <w:t>Ortiz, E.M., Santamaría, E.M.</w:t>
      </w:r>
      <w:r w:rsidR="00FB677C" w:rsidRPr="004738BA">
        <w:rPr>
          <w:color w:val="auto"/>
          <w:lang w:eastAsia="es-ES"/>
        </w:rPr>
        <w:t>,</w:t>
      </w:r>
      <w:r w:rsidRPr="004738BA">
        <w:rPr>
          <w:color w:val="auto"/>
          <w:lang w:eastAsia="es-ES"/>
        </w:rPr>
        <w:t xml:space="preserve"> </w:t>
      </w:r>
      <w:r w:rsidR="00FB677C" w:rsidRPr="004738BA">
        <w:rPr>
          <w:color w:val="auto"/>
          <w:lang w:eastAsia="es-ES"/>
        </w:rPr>
        <w:t>y</w:t>
      </w:r>
      <w:r w:rsidRPr="004738BA">
        <w:rPr>
          <w:color w:val="auto"/>
          <w:lang w:eastAsia="es-ES"/>
        </w:rPr>
        <w:t xml:space="preserve"> Fragoso, S.H. (1994). Resistencia en garrapatas Boophilus microplus, a los ixodicidas en México. XIV Congreso Panamericano de Ciencias Veterinarias</w:t>
      </w:r>
      <w:r w:rsidR="00FB677C" w:rsidRPr="004738BA">
        <w:rPr>
          <w:color w:val="auto"/>
          <w:lang w:eastAsia="es-ES"/>
        </w:rPr>
        <w:t>,</w:t>
      </w:r>
      <w:r w:rsidRPr="004738BA">
        <w:rPr>
          <w:color w:val="auto"/>
          <w:lang w:eastAsia="es-ES"/>
        </w:rPr>
        <w:t xml:space="preserve"> ed. Trujillo, pp. 473–474. Acapulco, Guerrero, México.</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Rodríguez-Vivas, R.I., Rivas, A.L., Chowell, G., Fragoso, S.H., Rosario-Cruz, R., García, Z., Smith, S.D., Williams, J.J., Schwager, S.J. (2007). Spatial distribution of acaricide profiles (Boophilus microplus strains susceptible or resistant to acaricides) in southeastern Mexico. Veterinary Parasitology. 146:158-169.</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Rodriguez-Vivas RI, Quiñones AF, Fragoso-S</w:t>
      </w:r>
      <w:r w:rsidR="008A0533" w:rsidRPr="004738BA">
        <w:rPr>
          <w:color w:val="auto"/>
          <w:lang w:eastAsia="es-ES"/>
        </w:rPr>
        <w:t>á</w:t>
      </w:r>
      <w:r w:rsidRPr="004738BA">
        <w:rPr>
          <w:color w:val="auto"/>
          <w:lang w:eastAsia="es-ES"/>
        </w:rPr>
        <w:t>nchez (2005).Epidemiolog</w:t>
      </w:r>
      <w:r w:rsidR="008A0533" w:rsidRPr="004738BA">
        <w:rPr>
          <w:color w:val="auto"/>
          <w:lang w:eastAsia="es-ES"/>
        </w:rPr>
        <w:t>í</w:t>
      </w:r>
      <w:r w:rsidRPr="004738BA">
        <w:rPr>
          <w:color w:val="auto"/>
          <w:lang w:eastAsia="es-ES"/>
        </w:rPr>
        <w:t>a y control de garrapata Boophilus en M</w:t>
      </w:r>
      <w:r w:rsidR="008A0533" w:rsidRPr="004738BA">
        <w:rPr>
          <w:color w:val="auto"/>
          <w:lang w:eastAsia="es-ES"/>
        </w:rPr>
        <w:t>é</w:t>
      </w:r>
      <w:r w:rsidRPr="004738BA">
        <w:rPr>
          <w:color w:val="auto"/>
          <w:lang w:eastAsia="es-ES"/>
        </w:rPr>
        <w:t>xico</w:t>
      </w:r>
      <w:r w:rsidR="008A0533" w:rsidRPr="004738BA">
        <w:rPr>
          <w:color w:val="auto"/>
          <w:lang w:eastAsia="es-ES"/>
        </w:rPr>
        <w:t xml:space="preserve">, </w:t>
      </w:r>
      <w:r w:rsidRPr="004738BA">
        <w:rPr>
          <w:color w:val="auto"/>
          <w:lang w:eastAsia="es-ES"/>
        </w:rPr>
        <w:t>McG</w:t>
      </w:r>
      <w:r w:rsidR="008A0533" w:rsidRPr="004738BA">
        <w:rPr>
          <w:color w:val="auto"/>
          <w:lang w:eastAsia="es-ES"/>
        </w:rPr>
        <w:t>raw</w:t>
      </w:r>
      <w:r w:rsidRPr="004738BA">
        <w:rPr>
          <w:color w:val="auto"/>
          <w:lang w:eastAsia="es-ES"/>
        </w:rPr>
        <w:t>-Hill UADY, p</w:t>
      </w:r>
      <w:r w:rsidR="008A0533" w:rsidRPr="004738BA">
        <w:rPr>
          <w:color w:val="auto"/>
          <w:lang w:eastAsia="es-ES"/>
        </w:rPr>
        <w:t>p.</w:t>
      </w:r>
      <w:r w:rsidRPr="004738BA">
        <w:rPr>
          <w:color w:val="auto"/>
          <w:lang w:eastAsia="es-ES"/>
        </w:rPr>
        <w:t xml:space="preserve"> 571-592.</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SAGARPA (2006). Manual técnico para el control de garrapatas en el ganado bovino</w:t>
      </w:r>
      <w:r w:rsidR="008A0533" w:rsidRPr="004738BA">
        <w:rPr>
          <w:color w:val="auto"/>
          <w:lang w:eastAsia="es-ES"/>
        </w:rPr>
        <w:t>,</w:t>
      </w:r>
      <w:r w:rsidR="004853F9" w:rsidRPr="004738BA">
        <w:rPr>
          <w:color w:val="auto"/>
          <w:lang w:eastAsia="es-ES"/>
        </w:rPr>
        <w:t xml:space="preserve"> </w:t>
      </w:r>
      <w:r w:rsidRPr="004738BA">
        <w:rPr>
          <w:color w:val="auto"/>
          <w:lang w:eastAsia="es-ES"/>
        </w:rPr>
        <w:t xml:space="preserve"> CENID- Parasitología Veterinaria Publicación Técnica No. 4</w:t>
      </w:r>
      <w:r w:rsidR="008A0533" w:rsidRPr="004738BA">
        <w:rPr>
          <w:color w:val="auto"/>
          <w:lang w:eastAsia="es-ES"/>
        </w:rPr>
        <w:t>.</w:t>
      </w:r>
    </w:p>
    <w:p w:rsidR="004853F9" w:rsidRPr="004738BA" w:rsidRDefault="004853F9"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Späth, E.</w:t>
      </w:r>
      <w:r w:rsidR="008A0533" w:rsidRPr="004738BA">
        <w:rPr>
          <w:color w:val="auto"/>
          <w:lang w:eastAsia="es-ES"/>
        </w:rPr>
        <w:t>,</w:t>
      </w:r>
      <w:r w:rsidRPr="004738BA">
        <w:rPr>
          <w:color w:val="auto"/>
          <w:lang w:eastAsia="es-ES"/>
        </w:rPr>
        <w:t xml:space="preserve"> Guglielmone, A.</w:t>
      </w:r>
      <w:r w:rsidR="008A0533" w:rsidRPr="004738BA">
        <w:rPr>
          <w:color w:val="auto"/>
          <w:lang w:eastAsia="es-ES"/>
        </w:rPr>
        <w:t>,</w:t>
      </w:r>
      <w:r w:rsidRPr="004738BA">
        <w:rPr>
          <w:color w:val="auto"/>
          <w:lang w:eastAsia="es-ES"/>
        </w:rPr>
        <w:t xml:space="preserve"> Signerini, A.</w:t>
      </w:r>
      <w:r w:rsidR="008A0533" w:rsidRPr="004738BA">
        <w:rPr>
          <w:color w:val="auto"/>
          <w:lang w:eastAsia="es-ES"/>
        </w:rPr>
        <w:t>,</w:t>
      </w:r>
      <w:r w:rsidRPr="004738BA">
        <w:rPr>
          <w:color w:val="auto"/>
          <w:lang w:eastAsia="es-ES"/>
        </w:rPr>
        <w:t xml:space="preserve"> Mangold, A. (1994). Estimación de las pérdidas económicas directas producidas por la garrapata Boophilus microplus y las enfermedades asociadas en la Argentina. Primera </w:t>
      </w:r>
      <w:r w:rsidR="008A0533" w:rsidRPr="004738BA">
        <w:rPr>
          <w:color w:val="auto"/>
          <w:lang w:eastAsia="es-ES"/>
        </w:rPr>
        <w:t>p</w:t>
      </w:r>
      <w:r w:rsidRPr="004738BA">
        <w:rPr>
          <w:color w:val="auto"/>
          <w:lang w:eastAsia="es-ES"/>
        </w:rPr>
        <w:t>arte. Veterinaria Rural, 23, 341-360.</w:t>
      </w:r>
    </w:p>
    <w:p w:rsidR="004853F9" w:rsidRPr="004738BA" w:rsidRDefault="004853F9"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Späth, E.</w:t>
      </w:r>
      <w:r w:rsidR="008A0533" w:rsidRPr="004738BA">
        <w:rPr>
          <w:color w:val="auto"/>
          <w:lang w:eastAsia="es-ES"/>
        </w:rPr>
        <w:t>,</w:t>
      </w:r>
      <w:r w:rsidRPr="004738BA">
        <w:rPr>
          <w:color w:val="auto"/>
          <w:lang w:eastAsia="es-ES"/>
        </w:rPr>
        <w:t xml:space="preserve"> Guglielmone, A.</w:t>
      </w:r>
      <w:r w:rsidR="008A0533" w:rsidRPr="004738BA">
        <w:rPr>
          <w:color w:val="auto"/>
          <w:lang w:eastAsia="es-ES"/>
        </w:rPr>
        <w:t>,</w:t>
      </w:r>
      <w:r w:rsidRPr="004738BA">
        <w:rPr>
          <w:color w:val="auto"/>
          <w:lang w:eastAsia="es-ES"/>
        </w:rPr>
        <w:t xml:space="preserve"> Signerini, A.</w:t>
      </w:r>
      <w:r w:rsidR="008A0533" w:rsidRPr="004738BA">
        <w:rPr>
          <w:color w:val="auto"/>
          <w:lang w:eastAsia="es-ES"/>
        </w:rPr>
        <w:t>,</w:t>
      </w:r>
      <w:r w:rsidRPr="004738BA">
        <w:rPr>
          <w:color w:val="auto"/>
          <w:lang w:eastAsia="es-ES"/>
        </w:rPr>
        <w:t xml:space="preserve"> Mangold, A. (1994a). Estimación de las pérdidas económicas directas producidas por la garrapata Boophilus microplus y las enfermedades asociadas en la Argentina. Segunda </w:t>
      </w:r>
      <w:r w:rsidR="008A0533" w:rsidRPr="004738BA">
        <w:rPr>
          <w:color w:val="auto"/>
          <w:lang w:eastAsia="es-ES"/>
        </w:rPr>
        <w:t>p</w:t>
      </w:r>
      <w:r w:rsidRPr="004738BA">
        <w:rPr>
          <w:color w:val="auto"/>
          <w:lang w:eastAsia="es-ES"/>
        </w:rPr>
        <w:t>arte. Veterinaria Rural, 23, 389-396.</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SPSS. (2005). SPPS para Windows. Ver. 17 Chicago, USA</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 xml:space="preserve">Stone, B. F. </w:t>
      </w:r>
      <w:r w:rsidR="008A0533" w:rsidRPr="004738BA">
        <w:rPr>
          <w:color w:val="auto"/>
          <w:lang w:eastAsia="es-ES"/>
        </w:rPr>
        <w:t>&amp;</w:t>
      </w:r>
      <w:r w:rsidRPr="004738BA">
        <w:rPr>
          <w:color w:val="auto"/>
          <w:lang w:eastAsia="es-ES"/>
        </w:rPr>
        <w:t xml:space="preserve"> Haydook, K.P. (1962) A. method for measuring the acaricide susceptibility of the cattle tick Boophilus microplus (Can.) Bull. Ent. Res. 53:563-578.</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t xml:space="preserve">Xianxun, L. </w:t>
      </w:r>
      <w:r w:rsidR="008A0533" w:rsidRPr="004738BA">
        <w:rPr>
          <w:color w:val="auto"/>
          <w:lang w:eastAsia="es-ES"/>
        </w:rPr>
        <w:t>&amp;</w:t>
      </w:r>
      <w:r w:rsidRPr="004738BA">
        <w:rPr>
          <w:color w:val="auto"/>
          <w:lang w:eastAsia="es-ES"/>
        </w:rPr>
        <w:t xml:space="preserve"> L. Wenshun (1997).Cattle theileriosis in China. E</w:t>
      </w:r>
      <w:r w:rsidR="008A0533" w:rsidRPr="004738BA">
        <w:rPr>
          <w:color w:val="auto"/>
          <w:lang w:eastAsia="es-ES"/>
        </w:rPr>
        <w:t>n</w:t>
      </w:r>
      <w:r w:rsidRPr="004738BA">
        <w:rPr>
          <w:color w:val="auto"/>
          <w:lang w:eastAsia="es-ES"/>
        </w:rPr>
        <w:t>: Tropical Animal health production</w:t>
      </w:r>
      <w:r w:rsidR="008A0533" w:rsidRPr="004738BA">
        <w:rPr>
          <w:color w:val="auto"/>
          <w:lang w:eastAsia="es-ES"/>
        </w:rPr>
        <w:t>,</w:t>
      </w:r>
      <w:r w:rsidRPr="004738BA">
        <w:rPr>
          <w:color w:val="auto"/>
          <w:lang w:eastAsia="es-ES"/>
        </w:rPr>
        <w:t xml:space="preserve"> N</w:t>
      </w:r>
      <w:r w:rsidR="009128F5" w:rsidRPr="004738BA">
        <w:rPr>
          <w:color w:val="auto"/>
          <w:lang w:eastAsia="es-ES"/>
        </w:rPr>
        <w:t>u</w:t>
      </w:r>
      <w:r w:rsidRPr="004738BA">
        <w:rPr>
          <w:color w:val="auto"/>
          <w:lang w:eastAsia="es-ES"/>
        </w:rPr>
        <w:t>m</w:t>
      </w:r>
      <w:r w:rsidR="009128F5" w:rsidRPr="004738BA">
        <w:rPr>
          <w:color w:val="auto"/>
          <w:lang w:eastAsia="es-ES"/>
        </w:rPr>
        <w:t>ber</w:t>
      </w:r>
      <w:r w:rsidRPr="004738BA">
        <w:rPr>
          <w:color w:val="auto"/>
          <w:lang w:eastAsia="es-ES"/>
        </w:rPr>
        <w:t xml:space="preserve"> 29, pp 4-7</w:t>
      </w:r>
      <w:r w:rsidR="008A0533" w:rsidRPr="004738BA">
        <w:rPr>
          <w:color w:val="auto"/>
          <w:lang w:eastAsia="es-ES"/>
        </w:rPr>
        <w:t>.</w:t>
      </w:r>
    </w:p>
    <w:p w:rsidR="000F0683" w:rsidRPr="004738BA" w:rsidRDefault="000F0683" w:rsidP="004738BA">
      <w:pPr>
        <w:pStyle w:val="NormalWeb"/>
        <w:spacing w:before="0" w:beforeAutospacing="0" w:after="0" w:afterAutospacing="0" w:line="480" w:lineRule="auto"/>
        <w:ind w:left="851" w:hanging="851"/>
        <w:jc w:val="both"/>
        <w:rPr>
          <w:color w:val="auto"/>
          <w:lang w:eastAsia="es-ES"/>
        </w:rPr>
      </w:pPr>
      <w:r w:rsidRPr="004738BA">
        <w:rPr>
          <w:color w:val="auto"/>
          <w:lang w:eastAsia="es-ES"/>
        </w:rPr>
        <w:lastRenderedPageBreak/>
        <w:t xml:space="preserve">Yeruhan, I. A. Hadani </w:t>
      </w:r>
      <w:r w:rsidR="008A0533" w:rsidRPr="004738BA">
        <w:rPr>
          <w:color w:val="auto"/>
          <w:lang w:eastAsia="es-ES"/>
        </w:rPr>
        <w:t>&amp;</w:t>
      </w:r>
      <w:r w:rsidRPr="004738BA">
        <w:rPr>
          <w:color w:val="auto"/>
          <w:lang w:eastAsia="es-ES"/>
        </w:rPr>
        <w:t xml:space="preserve"> F. Galker (1998). Some epizootiological and clinical aspects ovine babesiosis caused by Babesia ovis- a review veterinary </w:t>
      </w:r>
      <w:r w:rsidR="0038277E" w:rsidRPr="004738BA">
        <w:rPr>
          <w:color w:val="auto"/>
          <w:lang w:eastAsia="es-ES"/>
        </w:rPr>
        <w:t>Parasitology 74:153-163</w:t>
      </w:r>
      <w:r w:rsidR="008A0533" w:rsidRPr="004738BA">
        <w:rPr>
          <w:color w:val="auto"/>
          <w:lang w:eastAsia="es-ES"/>
        </w:rPr>
        <w:t>.</w:t>
      </w:r>
    </w:p>
    <w:p w:rsidR="00933F6E" w:rsidRPr="008E4DF8" w:rsidRDefault="00933F6E" w:rsidP="00032D8A">
      <w:pPr>
        <w:spacing w:line="360" w:lineRule="auto"/>
        <w:jc w:val="both"/>
        <w:rPr>
          <w:rFonts w:ascii="Arial" w:hAnsi="Arial" w:cs="Arial"/>
          <w:sz w:val="24"/>
          <w:szCs w:val="24"/>
          <w:lang w:val="en-US"/>
        </w:rPr>
      </w:pPr>
    </w:p>
    <w:sectPr w:rsidR="00933F6E" w:rsidRPr="008E4DF8">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629" w:rsidRDefault="00D31629" w:rsidP="004738BA">
      <w:pPr>
        <w:spacing w:after="0" w:line="240" w:lineRule="auto"/>
      </w:pPr>
      <w:r>
        <w:separator/>
      </w:r>
    </w:p>
  </w:endnote>
  <w:endnote w:type="continuationSeparator" w:id="0">
    <w:p w:rsidR="00D31629" w:rsidRDefault="00D31629" w:rsidP="00473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8BA" w:rsidRPr="00EF392A" w:rsidRDefault="004738BA" w:rsidP="004738BA">
    <w:pPr>
      <w:pStyle w:val="Piedepgina"/>
      <w:jc w:val="center"/>
      <w:rPr>
        <w:rFonts w:cs="Calibri"/>
        <w:b/>
      </w:rPr>
    </w:pPr>
    <w:r w:rsidRPr="00EF392A">
      <w:rPr>
        <w:rFonts w:cs="Calibri"/>
        <w:b/>
      </w:rPr>
      <w:t>Vol. 4, Núm. 8                   Julio – Diciembre 2015                   CIBA</w:t>
    </w:r>
  </w:p>
  <w:p w:rsidR="004738BA" w:rsidRDefault="004738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629" w:rsidRDefault="00D31629" w:rsidP="004738BA">
      <w:pPr>
        <w:spacing w:after="0" w:line="240" w:lineRule="auto"/>
      </w:pPr>
      <w:r>
        <w:separator/>
      </w:r>
    </w:p>
  </w:footnote>
  <w:footnote w:type="continuationSeparator" w:id="0">
    <w:p w:rsidR="00D31629" w:rsidRDefault="00D31629" w:rsidP="00473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8BA" w:rsidRDefault="004738BA" w:rsidP="004738BA">
    <w:pPr>
      <w:pStyle w:val="Encabezado"/>
      <w:jc w:val="center"/>
    </w:pPr>
    <w:r w:rsidRPr="00EF392A">
      <w:rPr>
        <w:rFonts w:cs="Calibri"/>
        <w:b/>
        <w:i/>
      </w:rPr>
      <w:t>Revista Iberoamericana de las Ciencias Biológicas y Agropecuarias</w:t>
    </w:r>
    <w:r w:rsidRPr="00EF392A">
      <w:rPr>
        <w:rFonts w:cs="Calibri"/>
        <w:b/>
      </w:rPr>
      <w:t xml:space="preserve">  </w:t>
    </w:r>
    <w:r w:rsidRPr="00EF392A">
      <w:rPr>
        <w:rFonts w:cs="Calibri"/>
      </w:rPr>
      <w:t xml:space="preserve">     </w:t>
    </w:r>
    <w:r w:rsidRPr="00EF392A">
      <w:rPr>
        <w:rFonts w:cs="Calibri"/>
        <w:b/>
      </w:rPr>
      <w:t>ISSN 2007 - 9990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CF8"/>
    <w:rsid w:val="00032D8A"/>
    <w:rsid w:val="00047914"/>
    <w:rsid w:val="000E65F3"/>
    <w:rsid w:val="000F0683"/>
    <w:rsid w:val="000F2AD3"/>
    <w:rsid w:val="00137201"/>
    <w:rsid w:val="001804B7"/>
    <w:rsid w:val="001950AA"/>
    <w:rsid w:val="001C3CE7"/>
    <w:rsid w:val="001E7C38"/>
    <w:rsid w:val="002455A9"/>
    <w:rsid w:val="00267E67"/>
    <w:rsid w:val="00283F62"/>
    <w:rsid w:val="003045F5"/>
    <w:rsid w:val="0038277E"/>
    <w:rsid w:val="0043047E"/>
    <w:rsid w:val="004738BA"/>
    <w:rsid w:val="004853F9"/>
    <w:rsid w:val="004B4E56"/>
    <w:rsid w:val="004C63CC"/>
    <w:rsid w:val="005621D9"/>
    <w:rsid w:val="005641CE"/>
    <w:rsid w:val="005A7EA7"/>
    <w:rsid w:val="0060065D"/>
    <w:rsid w:val="0062422B"/>
    <w:rsid w:val="00647574"/>
    <w:rsid w:val="006C7937"/>
    <w:rsid w:val="00702A50"/>
    <w:rsid w:val="007300CF"/>
    <w:rsid w:val="007414C5"/>
    <w:rsid w:val="007B3B8C"/>
    <w:rsid w:val="007B6A3E"/>
    <w:rsid w:val="007F7440"/>
    <w:rsid w:val="00827EA0"/>
    <w:rsid w:val="00836A67"/>
    <w:rsid w:val="008603A4"/>
    <w:rsid w:val="008651F5"/>
    <w:rsid w:val="008A0533"/>
    <w:rsid w:val="008C0FF8"/>
    <w:rsid w:val="008D176E"/>
    <w:rsid w:val="008E4DF8"/>
    <w:rsid w:val="008E72D1"/>
    <w:rsid w:val="009128F5"/>
    <w:rsid w:val="00933F6E"/>
    <w:rsid w:val="00982290"/>
    <w:rsid w:val="009B0CAA"/>
    <w:rsid w:val="00A05F86"/>
    <w:rsid w:val="00A063C9"/>
    <w:rsid w:val="00A13B5D"/>
    <w:rsid w:val="00A15A26"/>
    <w:rsid w:val="00A35C6C"/>
    <w:rsid w:val="00A43D08"/>
    <w:rsid w:val="00A44956"/>
    <w:rsid w:val="00A643CF"/>
    <w:rsid w:val="00A979FC"/>
    <w:rsid w:val="00AA2DE2"/>
    <w:rsid w:val="00AB680B"/>
    <w:rsid w:val="00AF5FBF"/>
    <w:rsid w:val="00B174EA"/>
    <w:rsid w:val="00B17CF8"/>
    <w:rsid w:val="00B93E42"/>
    <w:rsid w:val="00BF56BA"/>
    <w:rsid w:val="00C411F6"/>
    <w:rsid w:val="00C92383"/>
    <w:rsid w:val="00CA769F"/>
    <w:rsid w:val="00CB2393"/>
    <w:rsid w:val="00D02AD7"/>
    <w:rsid w:val="00D171CB"/>
    <w:rsid w:val="00D31629"/>
    <w:rsid w:val="00D44E09"/>
    <w:rsid w:val="00D64DCF"/>
    <w:rsid w:val="00D74FB1"/>
    <w:rsid w:val="00D90FD9"/>
    <w:rsid w:val="00DB2011"/>
    <w:rsid w:val="00E25418"/>
    <w:rsid w:val="00E31E41"/>
    <w:rsid w:val="00E92ADD"/>
    <w:rsid w:val="00EA5261"/>
    <w:rsid w:val="00EB61C3"/>
    <w:rsid w:val="00EB7D7B"/>
    <w:rsid w:val="00EE4ECD"/>
    <w:rsid w:val="00F24DA9"/>
    <w:rsid w:val="00F85506"/>
    <w:rsid w:val="00FB677C"/>
    <w:rsid w:val="00FE25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5E4408-A1E8-47AD-A8A8-48B78DD3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17C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93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F5FBF"/>
    <w:rPr>
      <w:color w:val="0000FF" w:themeColor="hyperlink"/>
      <w:u w:val="single"/>
    </w:rPr>
  </w:style>
  <w:style w:type="paragraph" w:styleId="NormalWeb">
    <w:name w:val="Normal (Web)"/>
    <w:basedOn w:val="Normal"/>
    <w:uiPriority w:val="99"/>
    <w:rsid w:val="004738BA"/>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styleId="Encabezado">
    <w:name w:val="header"/>
    <w:basedOn w:val="Normal"/>
    <w:link w:val="EncabezadoCar"/>
    <w:uiPriority w:val="99"/>
    <w:unhideWhenUsed/>
    <w:rsid w:val="004738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38BA"/>
  </w:style>
  <w:style w:type="paragraph" w:styleId="Piedepgina">
    <w:name w:val="footer"/>
    <w:basedOn w:val="Normal"/>
    <w:link w:val="PiedepginaCar"/>
    <w:uiPriority w:val="99"/>
    <w:unhideWhenUsed/>
    <w:rsid w:val="004738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184244">
      <w:bodyDiv w:val="1"/>
      <w:marLeft w:val="0"/>
      <w:marRight w:val="0"/>
      <w:marTop w:val="0"/>
      <w:marBottom w:val="0"/>
      <w:divBdr>
        <w:top w:val="none" w:sz="0" w:space="0" w:color="auto"/>
        <w:left w:val="none" w:sz="0" w:space="0" w:color="auto"/>
        <w:bottom w:val="none" w:sz="0" w:space="0" w:color="auto"/>
        <w:right w:val="none" w:sz="0" w:space="0" w:color="auto"/>
      </w:divBdr>
    </w:div>
    <w:div w:id="1608540311">
      <w:bodyDiv w:val="1"/>
      <w:marLeft w:val="0"/>
      <w:marRight w:val="0"/>
      <w:marTop w:val="0"/>
      <w:marBottom w:val="0"/>
      <w:divBdr>
        <w:top w:val="none" w:sz="0" w:space="0" w:color="auto"/>
        <w:left w:val="none" w:sz="0" w:space="0" w:color="auto"/>
        <w:bottom w:val="none" w:sz="0" w:space="0" w:color="auto"/>
        <w:right w:val="none" w:sz="0" w:space="0" w:color="auto"/>
      </w:divBdr>
      <w:divsChild>
        <w:div w:id="226188610">
          <w:marLeft w:val="0"/>
          <w:marRight w:val="-427"/>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sparza_renteria@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48B7E-A9B5-4A73-97C9-A584C96BF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2408</Words>
  <Characters>13250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dc:creator>
  <cp:lastModifiedBy>JOE</cp:lastModifiedBy>
  <cp:revision>6</cp:revision>
  <dcterms:created xsi:type="dcterms:W3CDTF">2016-01-16T01:04:00Z</dcterms:created>
  <dcterms:modified xsi:type="dcterms:W3CDTF">2017-03-13T19:30:00Z</dcterms:modified>
</cp:coreProperties>
</file>