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41EAA" w14:textId="4FA95969" w:rsidR="007936FB" w:rsidRPr="00313F4B" w:rsidRDefault="008D154C" w:rsidP="00313F4B">
      <w:pPr>
        <w:spacing w:before="240"/>
        <w:jc w:val="right"/>
        <w:rPr>
          <w:rFonts w:eastAsia="Times New Roman" w:cs="Times New Roman"/>
          <w:b/>
          <w:i/>
          <w:szCs w:val="20"/>
        </w:rPr>
      </w:pPr>
      <w:r w:rsidRPr="00313F4B">
        <w:rPr>
          <w:rFonts w:eastAsia="Times New Roman" w:cs="Times New Roman"/>
          <w:b/>
          <w:i/>
          <w:szCs w:val="20"/>
        </w:rPr>
        <w:t>https://doi.org/10.23913/ciba.v8i16.90</w:t>
      </w:r>
    </w:p>
    <w:p w14:paraId="4AD92969" w14:textId="159E621B" w:rsidR="007936FB" w:rsidRPr="00D6431B" w:rsidRDefault="00A21553" w:rsidP="007A4368">
      <w:pPr>
        <w:spacing w:before="240"/>
        <w:jc w:val="right"/>
        <w:rPr>
          <w:rFonts w:cs="Times New Roman"/>
          <w:b/>
          <w:bCs/>
          <w:sz w:val="36"/>
          <w:szCs w:val="32"/>
        </w:rPr>
      </w:pPr>
      <w:r w:rsidRPr="00D6431B">
        <w:rPr>
          <w:rFonts w:eastAsia="Times New Roman" w:cs="Times New Roman"/>
          <w:b/>
          <w:i/>
          <w:szCs w:val="20"/>
        </w:rPr>
        <w:t>Artículos Científicos</w:t>
      </w:r>
    </w:p>
    <w:p w14:paraId="535E5ED7" w14:textId="6CAD261D" w:rsidR="007936FB" w:rsidRDefault="00A21553" w:rsidP="007A4368">
      <w:pPr>
        <w:spacing w:after="0" w:line="276" w:lineRule="auto"/>
        <w:jc w:val="right"/>
        <w:rPr>
          <w:rFonts w:asciiTheme="minorHAnsi" w:eastAsia="Times New Roman" w:hAnsiTheme="minorHAnsi" w:cstheme="minorHAnsi"/>
          <w:b/>
          <w:i/>
          <w:color w:val="000000"/>
          <w:sz w:val="28"/>
          <w:szCs w:val="36"/>
          <w:shd w:val="solid" w:color="FFFFFF" w:fill="auto"/>
          <w:lang w:eastAsia="ru-RU"/>
        </w:rPr>
      </w:pPr>
      <w:r w:rsidRPr="007A4368">
        <w:rPr>
          <w:rFonts w:asciiTheme="minorHAnsi" w:eastAsia="Times New Roman" w:hAnsiTheme="minorHAnsi" w:cstheme="minorHAnsi"/>
          <w:b/>
          <w:color w:val="000000"/>
          <w:sz w:val="36"/>
          <w:szCs w:val="36"/>
          <w:shd w:val="solid" w:color="FFFFFF" w:fill="auto"/>
          <w:lang w:eastAsia="ru-RU"/>
        </w:rPr>
        <w:t>Factores socioeconómicos como impulsores de vulnerabilidad alimentaria</w:t>
      </w:r>
      <w:r w:rsidR="007A4368">
        <w:rPr>
          <w:rFonts w:asciiTheme="minorHAnsi" w:eastAsia="Times New Roman" w:hAnsiTheme="minorHAnsi" w:cstheme="minorHAnsi"/>
          <w:b/>
          <w:color w:val="000000"/>
          <w:sz w:val="36"/>
          <w:szCs w:val="36"/>
          <w:shd w:val="solid" w:color="FFFFFF" w:fill="auto"/>
          <w:lang w:eastAsia="ru-RU"/>
        </w:rPr>
        <w:br/>
      </w:r>
      <w:r w:rsidR="007A4368">
        <w:rPr>
          <w:rFonts w:asciiTheme="minorHAnsi" w:eastAsia="Times New Roman" w:hAnsiTheme="minorHAnsi" w:cstheme="minorHAnsi"/>
          <w:b/>
          <w:color w:val="000000"/>
          <w:sz w:val="36"/>
          <w:szCs w:val="36"/>
          <w:shd w:val="solid" w:color="FFFFFF" w:fill="auto"/>
          <w:lang w:eastAsia="ru-RU"/>
        </w:rPr>
        <w:br/>
      </w:r>
      <w:proofErr w:type="spellStart"/>
      <w:r w:rsidRPr="007A4368">
        <w:rPr>
          <w:rFonts w:asciiTheme="minorHAnsi" w:eastAsia="Times New Roman" w:hAnsiTheme="minorHAnsi" w:cstheme="minorHAnsi"/>
          <w:b/>
          <w:i/>
          <w:color w:val="000000"/>
          <w:sz w:val="28"/>
          <w:szCs w:val="36"/>
          <w:shd w:val="solid" w:color="FFFFFF" w:fill="auto"/>
          <w:lang w:eastAsia="ru-RU"/>
        </w:rPr>
        <w:t>Socioeconomic</w:t>
      </w:r>
      <w:proofErr w:type="spellEnd"/>
      <w:r w:rsidRPr="007A4368">
        <w:rPr>
          <w:rFonts w:asciiTheme="minorHAnsi" w:eastAsia="Times New Roman" w:hAnsiTheme="minorHAnsi" w:cstheme="minorHAnsi"/>
          <w:b/>
          <w:i/>
          <w:color w:val="000000"/>
          <w:sz w:val="28"/>
          <w:szCs w:val="36"/>
          <w:shd w:val="solid" w:color="FFFFFF" w:fill="auto"/>
          <w:lang w:eastAsia="ru-RU"/>
        </w:rPr>
        <w:t xml:space="preserve"> </w:t>
      </w:r>
      <w:proofErr w:type="spellStart"/>
      <w:r w:rsidRPr="007A4368">
        <w:rPr>
          <w:rFonts w:asciiTheme="minorHAnsi" w:eastAsia="Times New Roman" w:hAnsiTheme="minorHAnsi" w:cstheme="minorHAnsi"/>
          <w:b/>
          <w:i/>
          <w:color w:val="000000"/>
          <w:sz w:val="28"/>
          <w:szCs w:val="36"/>
          <w:shd w:val="solid" w:color="FFFFFF" w:fill="auto"/>
          <w:lang w:eastAsia="ru-RU"/>
        </w:rPr>
        <w:t>Factors</w:t>
      </w:r>
      <w:proofErr w:type="spellEnd"/>
      <w:r w:rsidRPr="007A4368">
        <w:rPr>
          <w:rFonts w:asciiTheme="minorHAnsi" w:eastAsia="Times New Roman" w:hAnsiTheme="minorHAnsi" w:cstheme="minorHAnsi"/>
          <w:b/>
          <w:i/>
          <w:color w:val="000000"/>
          <w:sz w:val="28"/>
          <w:szCs w:val="36"/>
          <w:shd w:val="solid" w:color="FFFFFF" w:fill="auto"/>
          <w:lang w:eastAsia="ru-RU"/>
        </w:rPr>
        <w:t xml:space="preserve"> as Drivers </w:t>
      </w:r>
      <w:proofErr w:type="spellStart"/>
      <w:r w:rsidRPr="007A4368">
        <w:rPr>
          <w:rFonts w:asciiTheme="minorHAnsi" w:eastAsia="Times New Roman" w:hAnsiTheme="minorHAnsi" w:cstheme="minorHAnsi"/>
          <w:b/>
          <w:i/>
          <w:color w:val="000000"/>
          <w:sz w:val="28"/>
          <w:szCs w:val="36"/>
          <w:shd w:val="solid" w:color="FFFFFF" w:fill="auto"/>
          <w:lang w:eastAsia="ru-RU"/>
        </w:rPr>
        <w:t>of</w:t>
      </w:r>
      <w:proofErr w:type="spellEnd"/>
      <w:r w:rsidRPr="007A4368">
        <w:rPr>
          <w:rFonts w:asciiTheme="minorHAnsi" w:eastAsia="Times New Roman" w:hAnsiTheme="minorHAnsi" w:cstheme="minorHAnsi"/>
          <w:b/>
          <w:i/>
          <w:color w:val="000000"/>
          <w:sz w:val="28"/>
          <w:szCs w:val="36"/>
          <w:shd w:val="solid" w:color="FFFFFF" w:fill="auto"/>
          <w:lang w:eastAsia="ru-RU"/>
        </w:rPr>
        <w:t xml:space="preserve"> </w:t>
      </w:r>
      <w:proofErr w:type="spellStart"/>
      <w:r w:rsidRPr="007A4368">
        <w:rPr>
          <w:rFonts w:asciiTheme="minorHAnsi" w:eastAsia="Times New Roman" w:hAnsiTheme="minorHAnsi" w:cstheme="minorHAnsi"/>
          <w:b/>
          <w:i/>
          <w:color w:val="000000"/>
          <w:sz w:val="28"/>
          <w:szCs w:val="36"/>
          <w:shd w:val="solid" w:color="FFFFFF" w:fill="auto"/>
          <w:lang w:eastAsia="ru-RU"/>
        </w:rPr>
        <w:t>Food</w:t>
      </w:r>
      <w:proofErr w:type="spellEnd"/>
      <w:r w:rsidRPr="007A4368">
        <w:rPr>
          <w:rFonts w:asciiTheme="minorHAnsi" w:eastAsia="Times New Roman" w:hAnsiTheme="minorHAnsi" w:cstheme="minorHAnsi"/>
          <w:b/>
          <w:i/>
          <w:color w:val="000000"/>
          <w:sz w:val="28"/>
          <w:szCs w:val="36"/>
          <w:shd w:val="solid" w:color="FFFFFF" w:fill="auto"/>
          <w:lang w:eastAsia="ru-RU"/>
        </w:rPr>
        <w:t xml:space="preserve"> </w:t>
      </w:r>
      <w:proofErr w:type="spellStart"/>
      <w:r w:rsidRPr="007A4368">
        <w:rPr>
          <w:rFonts w:asciiTheme="minorHAnsi" w:eastAsia="Times New Roman" w:hAnsiTheme="minorHAnsi" w:cstheme="minorHAnsi"/>
          <w:b/>
          <w:i/>
          <w:color w:val="000000"/>
          <w:sz w:val="28"/>
          <w:szCs w:val="36"/>
          <w:shd w:val="solid" w:color="FFFFFF" w:fill="auto"/>
          <w:lang w:eastAsia="ru-RU"/>
        </w:rPr>
        <w:t>Vulnerability</w:t>
      </w:r>
      <w:proofErr w:type="spellEnd"/>
      <w:r w:rsidR="007A4368">
        <w:rPr>
          <w:rFonts w:asciiTheme="minorHAnsi" w:eastAsia="Times New Roman" w:hAnsiTheme="minorHAnsi" w:cstheme="minorHAnsi"/>
          <w:b/>
          <w:i/>
          <w:color w:val="000000"/>
          <w:sz w:val="28"/>
          <w:szCs w:val="36"/>
          <w:shd w:val="solid" w:color="FFFFFF" w:fill="auto"/>
          <w:lang w:eastAsia="ru-RU"/>
        </w:rPr>
        <w:br/>
      </w:r>
    </w:p>
    <w:p w14:paraId="059F82C4" w14:textId="64217792" w:rsidR="007936FB" w:rsidRPr="007A4368" w:rsidRDefault="00A21553" w:rsidP="007A4368">
      <w:pPr>
        <w:spacing w:after="0" w:line="276" w:lineRule="auto"/>
        <w:jc w:val="right"/>
        <w:rPr>
          <w:rFonts w:eastAsia="Times New Roman" w:cstheme="minorHAnsi"/>
          <w:b/>
          <w:i/>
          <w:color w:val="000000"/>
          <w:sz w:val="22"/>
          <w:szCs w:val="36"/>
          <w:shd w:val="solid" w:color="FFFFFF" w:fill="auto"/>
          <w:lang w:eastAsia="ru-RU"/>
        </w:rPr>
      </w:pPr>
      <w:r w:rsidRPr="007A4368">
        <w:rPr>
          <w:rFonts w:asciiTheme="minorHAnsi" w:eastAsia="Times New Roman" w:hAnsiTheme="minorHAnsi" w:cstheme="minorHAnsi"/>
          <w:b/>
          <w:i/>
          <w:color w:val="000000"/>
          <w:sz w:val="28"/>
          <w:szCs w:val="36"/>
          <w:shd w:val="solid" w:color="FFFFFF" w:fill="auto"/>
          <w:lang w:eastAsia="ru-RU"/>
        </w:rPr>
        <w:t xml:space="preserve">Fatores </w:t>
      </w:r>
      <w:proofErr w:type="spellStart"/>
      <w:r w:rsidRPr="007A4368">
        <w:rPr>
          <w:rFonts w:asciiTheme="minorHAnsi" w:eastAsia="Times New Roman" w:hAnsiTheme="minorHAnsi" w:cstheme="minorHAnsi"/>
          <w:b/>
          <w:i/>
          <w:color w:val="000000"/>
          <w:sz w:val="28"/>
          <w:szCs w:val="36"/>
          <w:shd w:val="solid" w:color="FFFFFF" w:fill="auto"/>
          <w:lang w:eastAsia="ru-RU"/>
        </w:rPr>
        <w:t>socioeconômicos</w:t>
      </w:r>
      <w:proofErr w:type="spellEnd"/>
      <w:r w:rsidRPr="007A4368">
        <w:rPr>
          <w:rFonts w:asciiTheme="minorHAnsi" w:eastAsia="Times New Roman" w:hAnsiTheme="minorHAnsi" w:cstheme="minorHAnsi"/>
          <w:b/>
          <w:i/>
          <w:color w:val="000000"/>
          <w:sz w:val="28"/>
          <w:szCs w:val="36"/>
          <w:shd w:val="solid" w:color="FFFFFF" w:fill="auto"/>
          <w:lang w:eastAsia="ru-RU"/>
        </w:rPr>
        <w:t xml:space="preserve"> como motores da vulnerabilidade alimentar</w:t>
      </w:r>
    </w:p>
    <w:p w14:paraId="51904B4A" w14:textId="25581DDC" w:rsidR="00D6431B" w:rsidRDefault="00D6431B" w:rsidP="007A4368">
      <w:pPr>
        <w:spacing w:after="0" w:line="276" w:lineRule="auto"/>
        <w:jc w:val="right"/>
      </w:pPr>
      <w:r>
        <w:rPr>
          <w:rFonts w:ascii="Calibri" w:hAnsi="Calibri" w:cs="Calibri"/>
          <w:b/>
          <w:bCs/>
          <w:color w:val="000000"/>
          <w:szCs w:val="24"/>
          <w:lang w:val="es-ES" w:eastAsia="es-ES"/>
        </w:rPr>
        <w:br/>
      </w:r>
      <w:r w:rsidR="00A21553" w:rsidRPr="00D6431B">
        <w:rPr>
          <w:rFonts w:ascii="Calibri" w:hAnsi="Calibri" w:cs="Calibri"/>
          <w:b/>
          <w:bCs/>
          <w:color w:val="000000"/>
          <w:szCs w:val="24"/>
          <w:lang w:val="es-ES" w:eastAsia="es-ES"/>
        </w:rPr>
        <w:t>Susana Marceleño Flores</w:t>
      </w:r>
      <w:r>
        <w:rPr>
          <w:rFonts w:eastAsia="Times New Roman"/>
          <w:lang w:bidi="en-US"/>
        </w:rPr>
        <w:br/>
      </w:r>
      <w:r w:rsidRPr="00D6431B">
        <w:rPr>
          <w:rFonts w:cs="Times New Roman"/>
        </w:rPr>
        <w:t>Universidad Autónoma de Nayarit, México</w:t>
      </w:r>
      <w:r w:rsidRPr="00D6431B">
        <w:rPr>
          <w:rFonts w:cs="Times New Roman"/>
        </w:rPr>
        <w:br/>
      </w:r>
      <w:r w:rsidRPr="00D6431B">
        <w:rPr>
          <w:rFonts w:ascii="Calibri" w:eastAsia="Calibri" w:hAnsi="Calibri" w:cs="Times New Roman"/>
          <w:color w:val="FB0007"/>
          <w:lang w:val="es-ES" w:eastAsia="es-ES"/>
        </w:rPr>
        <w:t>smlmarcel@hotmail.com</w:t>
      </w:r>
      <w:r>
        <w:br/>
      </w:r>
      <w:r w:rsidRPr="00D6431B">
        <w:rPr>
          <w:rFonts w:cs="Times New Roman"/>
        </w:rPr>
        <w:t>https://orcid.org/0000-0003-0430-8128</w:t>
      </w:r>
    </w:p>
    <w:p w14:paraId="10F0E6EA" w14:textId="77777777" w:rsidR="00D6431B" w:rsidRDefault="00D6431B" w:rsidP="007A4368">
      <w:pPr>
        <w:pStyle w:val="Textonotapie"/>
        <w:spacing w:line="276" w:lineRule="auto"/>
        <w:jc w:val="right"/>
      </w:pPr>
    </w:p>
    <w:p w14:paraId="158F14C4" w14:textId="1DD52A19" w:rsidR="00D6431B" w:rsidRPr="0000085E" w:rsidRDefault="00A21553" w:rsidP="007A4368">
      <w:pPr>
        <w:spacing w:after="0" w:line="276" w:lineRule="auto"/>
        <w:jc w:val="right"/>
        <w:rPr>
          <w:rFonts w:eastAsia="Times New Roman"/>
          <w:lang w:bidi="en-US"/>
        </w:rPr>
      </w:pPr>
      <w:r w:rsidRPr="00D6431B">
        <w:rPr>
          <w:rFonts w:ascii="Calibri" w:hAnsi="Calibri" w:cs="Calibri"/>
          <w:b/>
          <w:bCs/>
          <w:color w:val="000000"/>
          <w:szCs w:val="24"/>
          <w:lang w:val="es-ES" w:eastAsia="es-ES"/>
        </w:rPr>
        <w:t>Rebeca de Haro Mota</w:t>
      </w:r>
      <w:r w:rsidR="00D6431B" w:rsidRPr="00D6431B">
        <w:rPr>
          <w:rFonts w:ascii="Calibri" w:hAnsi="Calibri" w:cs="Calibri"/>
          <w:b/>
          <w:bCs/>
          <w:color w:val="000000"/>
          <w:szCs w:val="24"/>
          <w:lang w:val="es-ES" w:eastAsia="es-ES"/>
        </w:rPr>
        <w:br/>
      </w:r>
      <w:r w:rsidR="00D6431B" w:rsidRPr="00D6431B">
        <w:rPr>
          <w:rFonts w:cs="Times New Roman"/>
        </w:rPr>
        <w:t>Universidad Autónoma de Nayarit, México</w:t>
      </w:r>
      <w:r w:rsidR="00D6431B">
        <w:rPr>
          <w:rFonts w:cs="Times New Roman"/>
        </w:rPr>
        <w:br/>
      </w:r>
      <w:r w:rsidR="00D6431B" w:rsidRPr="00D6431B">
        <w:rPr>
          <w:rFonts w:ascii="Calibri" w:eastAsia="Calibri" w:hAnsi="Calibri" w:cs="Times New Roman"/>
          <w:color w:val="FB0007"/>
          <w:lang w:val="es-ES" w:eastAsia="es-ES"/>
        </w:rPr>
        <w:t>deharo@uan.edu.mx</w:t>
      </w:r>
      <w:r w:rsidR="00D6431B" w:rsidRPr="00D6431B">
        <w:rPr>
          <w:rFonts w:ascii="Calibri" w:eastAsia="Calibri" w:hAnsi="Calibri" w:cs="Times New Roman"/>
          <w:color w:val="FB0007"/>
          <w:lang w:val="es-ES" w:eastAsia="es-ES"/>
        </w:rPr>
        <w:br/>
      </w:r>
      <w:hyperlink r:id="rId6" w:tgtFrame="_blank" w:history="1">
        <w:r w:rsidR="00D6431B" w:rsidRPr="00D6431B">
          <w:rPr>
            <w:rFonts w:cs="Times New Roman"/>
          </w:rPr>
          <w:t>https://orcid.org/0000-0001-6067-4013</w:t>
        </w:r>
      </w:hyperlink>
      <w:r w:rsidR="00D6431B" w:rsidRPr="00D6431B">
        <w:rPr>
          <w:rFonts w:cs="Times New Roman"/>
        </w:rPr>
        <w:br/>
      </w:r>
    </w:p>
    <w:p w14:paraId="44ED9575" w14:textId="1577889C" w:rsidR="00D6431B" w:rsidRPr="00D6431B" w:rsidRDefault="00A21553" w:rsidP="007A4368">
      <w:pPr>
        <w:spacing w:after="0" w:line="276" w:lineRule="auto"/>
        <w:jc w:val="right"/>
        <w:rPr>
          <w:rFonts w:cs="Times New Roman"/>
        </w:rPr>
      </w:pPr>
      <w:proofErr w:type="spellStart"/>
      <w:r w:rsidRPr="00D6431B">
        <w:rPr>
          <w:rFonts w:ascii="Calibri" w:hAnsi="Calibri" w:cs="Calibri"/>
          <w:b/>
          <w:bCs/>
          <w:color w:val="000000"/>
          <w:szCs w:val="24"/>
          <w:lang w:val="es-ES" w:eastAsia="es-ES"/>
        </w:rPr>
        <w:t>Oyolsi</w:t>
      </w:r>
      <w:proofErr w:type="spellEnd"/>
      <w:r w:rsidRPr="00D6431B">
        <w:rPr>
          <w:rFonts w:ascii="Calibri" w:hAnsi="Calibri" w:cs="Calibri"/>
          <w:b/>
          <w:bCs/>
          <w:color w:val="000000"/>
          <w:szCs w:val="24"/>
          <w:lang w:val="es-ES" w:eastAsia="es-ES"/>
        </w:rPr>
        <w:t xml:space="preserve"> Nájera González</w:t>
      </w:r>
      <w:r w:rsidR="00D6431B" w:rsidRPr="00D6431B">
        <w:rPr>
          <w:rFonts w:ascii="Calibri" w:hAnsi="Calibri" w:cs="Calibri"/>
          <w:b/>
          <w:bCs/>
          <w:color w:val="000000"/>
          <w:szCs w:val="24"/>
          <w:lang w:val="es-ES" w:eastAsia="es-ES"/>
        </w:rPr>
        <w:br/>
      </w:r>
      <w:r w:rsidR="00D6431B" w:rsidRPr="00D6431B">
        <w:rPr>
          <w:rFonts w:cs="Times New Roman"/>
        </w:rPr>
        <w:t>Universidad Autónoma de Nayarit, México</w:t>
      </w:r>
      <w:r w:rsidR="00D6431B">
        <w:rPr>
          <w:rFonts w:cs="Times New Roman"/>
        </w:rPr>
        <w:br/>
      </w:r>
      <w:r w:rsidR="00D6431B" w:rsidRPr="00D6431B">
        <w:rPr>
          <w:rFonts w:ascii="Calibri" w:eastAsia="Calibri" w:hAnsi="Calibri" w:cs="Times New Roman"/>
          <w:color w:val="FB0007"/>
          <w:lang w:val="es-ES" w:eastAsia="es-ES"/>
        </w:rPr>
        <w:t>oyolsi@uan.edu.mx</w:t>
      </w:r>
      <w:r w:rsidR="00D6431B" w:rsidRPr="00D6431B">
        <w:rPr>
          <w:rFonts w:ascii="Calibri" w:eastAsia="Calibri" w:hAnsi="Calibri" w:cs="Times New Roman"/>
          <w:color w:val="FB0007"/>
          <w:lang w:val="es-ES" w:eastAsia="es-ES"/>
        </w:rPr>
        <w:br/>
      </w:r>
      <w:hyperlink r:id="rId7" w:tgtFrame="_blank" w:history="1">
        <w:r w:rsidR="00D6431B" w:rsidRPr="00D6431B">
          <w:rPr>
            <w:rFonts w:cs="Times New Roman"/>
          </w:rPr>
          <w:t>https</w:t>
        </w:r>
      </w:hyperlink>
      <w:r w:rsidR="00472361">
        <w:rPr>
          <w:rFonts w:cs="Times New Roman"/>
        </w:rPr>
        <w:t>:</w:t>
      </w:r>
      <w:r w:rsidR="00D6431B" w:rsidRPr="00D6431B">
        <w:rPr>
          <w:rFonts w:cs="Times New Roman"/>
        </w:rPr>
        <w:t>//orcid.org/0000-002-8637-9482</w:t>
      </w:r>
    </w:p>
    <w:p w14:paraId="5F7CFA97" w14:textId="43C3D48D" w:rsidR="007936FB" w:rsidRDefault="007936FB" w:rsidP="007A4368">
      <w:pPr>
        <w:spacing w:after="0"/>
        <w:rPr>
          <w:b/>
        </w:rPr>
      </w:pPr>
    </w:p>
    <w:p w14:paraId="4ABE0C2C" w14:textId="77E5E3D9" w:rsidR="007936FB" w:rsidRDefault="007936FB" w:rsidP="007A4368">
      <w:pPr>
        <w:spacing w:after="0"/>
        <w:rPr>
          <w:b/>
        </w:rPr>
      </w:pPr>
    </w:p>
    <w:p w14:paraId="4963034D" w14:textId="76828A65" w:rsidR="007936FB" w:rsidRDefault="007936FB" w:rsidP="007A4368">
      <w:pPr>
        <w:spacing w:after="0"/>
        <w:rPr>
          <w:b/>
        </w:rPr>
      </w:pPr>
    </w:p>
    <w:p w14:paraId="09043457" w14:textId="77777777" w:rsidR="007936FB" w:rsidRDefault="007936FB" w:rsidP="007A4368">
      <w:pPr>
        <w:spacing w:after="0"/>
        <w:rPr>
          <w:b/>
        </w:rPr>
      </w:pPr>
    </w:p>
    <w:p w14:paraId="2983FF35" w14:textId="77777777" w:rsidR="00D6431B" w:rsidRDefault="00D6431B" w:rsidP="007A4368">
      <w:pPr>
        <w:spacing w:after="0"/>
        <w:rPr>
          <w:b/>
        </w:rPr>
      </w:pPr>
    </w:p>
    <w:p w14:paraId="499C21A4" w14:textId="77777777" w:rsidR="007A4368" w:rsidRDefault="007A4368" w:rsidP="007A4368">
      <w:pPr>
        <w:spacing w:after="0"/>
        <w:rPr>
          <w:b/>
        </w:rPr>
      </w:pPr>
    </w:p>
    <w:p w14:paraId="05C37B34" w14:textId="77777777" w:rsidR="007A4368" w:rsidRDefault="007A4368" w:rsidP="007A4368">
      <w:pPr>
        <w:spacing w:after="0"/>
        <w:rPr>
          <w:b/>
        </w:rPr>
      </w:pPr>
    </w:p>
    <w:p w14:paraId="375A3F93" w14:textId="77777777" w:rsidR="007A4368" w:rsidRDefault="007A4368" w:rsidP="007A4368">
      <w:pPr>
        <w:spacing w:after="0"/>
        <w:rPr>
          <w:b/>
        </w:rPr>
      </w:pPr>
    </w:p>
    <w:p w14:paraId="1C45C166" w14:textId="5AF5620D" w:rsidR="007A4368" w:rsidRDefault="007A4368" w:rsidP="007A4368">
      <w:pPr>
        <w:spacing w:after="0"/>
        <w:rPr>
          <w:b/>
        </w:rPr>
      </w:pPr>
    </w:p>
    <w:p w14:paraId="12BF7DCB" w14:textId="77777777" w:rsidR="007F0967" w:rsidRDefault="007F0967" w:rsidP="007A4368">
      <w:pPr>
        <w:spacing w:after="0"/>
        <w:rPr>
          <w:b/>
        </w:rPr>
      </w:pPr>
    </w:p>
    <w:p w14:paraId="58C0AECA" w14:textId="0EE76E3E" w:rsidR="007936FB" w:rsidRPr="007A4368" w:rsidRDefault="00A21553" w:rsidP="007A4368">
      <w:pPr>
        <w:spacing w:after="0"/>
        <w:rPr>
          <w:rFonts w:asciiTheme="minorHAnsi" w:eastAsia="Times New Roman" w:hAnsiTheme="minorHAnsi" w:cstheme="minorHAnsi"/>
          <w:b/>
          <w:color w:val="000000"/>
          <w:sz w:val="28"/>
          <w:szCs w:val="28"/>
          <w:lang w:val="es-ES" w:eastAsia="es-ES"/>
        </w:rPr>
      </w:pPr>
      <w:r w:rsidRPr="007A4368">
        <w:rPr>
          <w:rFonts w:asciiTheme="minorHAnsi" w:eastAsia="Times New Roman" w:hAnsiTheme="minorHAnsi" w:cstheme="minorHAnsi"/>
          <w:b/>
          <w:color w:val="000000"/>
          <w:sz w:val="28"/>
          <w:szCs w:val="28"/>
          <w:lang w:val="es-ES" w:eastAsia="es-ES"/>
        </w:rPr>
        <w:t>Resumen</w:t>
      </w:r>
    </w:p>
    <w:p w14:paraId="72FE6D6C" w14:textId="6AB70AED" w:rsidR="007936FB" w:rsidRPr="0051476A" w:rsidRDefault="00A21553" w:rsidP="007A4368">
      <w:pPr>
        <w:spacing w:after="0"/>
        <w:rPr>
          <w:rFonts w:eastAsia="Calibri"/>
        </w:rPr>
      </w:pPr>
      <w:r w:rsidRPr="0051476A">
        <w:t>En este trabajo se evalúa la vulnerabilidad alimentaria en los municipios de Nayarit a partir</w:t>
      </w:r>
      <w:r w:rsidRPr="0051476A">
        <w:rPr>
          <w:rFonts w:eastAsia="Calibri"/>
        </w:rPr>
        <w:t xml:space="preserve"> de la construcción de un índice que considera tres variables: desarrollo socioeconómico, inseguridad alimentaria y vulnerabilidad alimentaria. Dentro de los resultados se encuentra que </w:t>
      </w:r>
      <w:r w:rsidRPr="0051476A">
        <w:t>el municipio de Del Nayar se ubica en un nivel muy alto de vulnerabilidad; mientras que Huajicori, Acaponeta, Rosamorada y Ruiz en un nivel alto de vulnerabilidad. Por otra parte, los factores identificados como impulsores de vulnerabilidad son la</w:t>
      </w:r>
      <w:r w:rsidRPr="0051476A">
        <w:rPr>
          <w:rFonts w:eastAsia="Calibri"/>
        </w:rPr>
        <w:t xml:space="preserve"> deficiente dotación de carreteras pavimentadas, la baja actividad económica y el bajo nivel de escolaridad del jefe o jefa de familia. </w:t>
      </w:r>
    </w:p>
    <w:p w14:paraId="25B8B39C" w14:textId="5DC6BFFA" w:rsidR="007936FB" w:rsidRPr="0051476A" w:rsidRDefault="00A21553" w:rsidP="007A4368">
      <w:pPr>
        <w:spacing w:after="0"/>
      </w:pPr>
      <w:r w:rsidRPr="007A4368">
        <w:rPr>
          <w:rFonts w:asciiTheme="minorHAnsi" w:eastAsia="Times New Roman" w:hAnsiTheme="minorHAnsi" w:cstheme="minorHAnsi"/>
          <w:b/>
          <w:color w:val="000000"/>
          <w:sz w:val="28"/>
          <w:szCs w:val="28"/>
          <w:lang w:val="es-ES" w:eastAsia="es-ES"/>
        </w:rPr>
        <w:t>Palabras clave:</w:t>
      </w:r>
      <w:r w:rsidRPr="0051476A">
        <w:rPr>
          <w:rFonts w:eastAsia="Calibri" w:cs="Times New Roman"/>
        </w:rPr>
        <w:t xml:space="preserve"> </w:t>
      </w:r>
      <w:r w:rsidRPr="0051476A">
        <w:t>desarrollo socioeconómico, índice, inseguridad alimentaria, Nayarit, nivel de escolaridad.</w:t>
      </w:r>
    </w:p>
    <w:p w14:paraId="403DC139" w14:textId="77777777" w:rsidR="007936FB" w:rsidRPr="0051476A" w:rsidRDefault="007936FB" w:rsidP="007A4368">
      <w:pPr>
        <w:spacing w:after="0"/>
        <w:rPr>
          <w:rFonts w:eastAsia="Calibri" w:cs="Times New Roman"/>
          <w:b/>
        </w:rPr>
      </w:pPr>
    </w:p>
    <w:p w14:paraId="39CF2663" w14:textId="68BD4645" w:rsidR="007936FB" w:rsidRPr="007A4368" w:rsidRDefault="00A21553" w:rsidP="007A4368">
      <w:pPr>
        <w:spacing w:after="0"/>
        <w:rPr>
          <w:rFonts w:asciiTheme="minorHAnsi" w:eastAsia="Times New Roman" w:hAnsiTheme="minorHAnsi" w:cstheme="minorHAnsi"/>
          <w:b/>
          <w:color w:val="000000"/>
          <w:sz w:val="28"/>
          <w:szCs w:val="28"/>
          <w:lang w:val="es-ES" w:eastAsia="es-ES"/>
        </w:rPr>
      </w:pPr>
      <w:r w:rsidRPr="007A4368">
        <w:rPr>
          <w:rFonts w:asciiTheme="minorHAnsi" w:eastAsia="Times New Roman" w:hAnsiTheme="minorHAnsi" w:cstheme="minorHAnsi"/>
          <w:b/>
          <w:color w:val="000000"/>
          <w:sz w:val="28"/>
          <w:szCs w:val="28"/>
          <w:lang w:val="es-ES" w:eastAsia="es-ES"/>
        </w:rPr>
        <w:t>Abstract</w:t>
      </w:r>
    </w:p>
    <w:p w14:paraId="5B007F14" w14:textId="6D8AC40D" w:rsidR="007936FB" w:rsidRPr="0051476A" w:rsidRDefault="00A21553" w:rsidP="007A4368">
      <w:pPr>
        <w:spacing w:after="0"/>
        <w:rPr>
          <w:rFonts w:eastAsia="Calibri"/>
          <w:lang w:val="en-US"/>
        </w:rPr>
      </w:pPr>
      <w:r w:rsidRPr="0051476A">
        <w:rPr>
          <w:rFonts w:eastAsia="Calibri"/>
          <w:lang w:val="en-US"/>
        </w:rPr>
        <w:t xml:space="preserve">This work assesses the food vulnerability in the municipalities of Nayarit using an </w:t>
      </w:r>
      <w:r w:rsidRPr="0051476A">
        <w:rPr>
          <w:lang w:val="en-US"/>
        </w:rPr>
        <w:t>index of food vulnerability that incorporates three factors: socio-economic development, food insecurity and food vulnerability</w:t>
      </w:r>
      <w:r w:rsidRPr="0051476A">
        <w:rPr>
          <w:rFonts w:eastAsia="Calibri"/>
          <w:lang w:val="en-US"/>
        </w:rPr>
        <w:t xml:space="preserve">. Results show that the municipality of Del </w:t>
      </w:r>
      <w:proofErr w:type="spellStart"/>
      <w:r w:rsidRPr="0051476A">
        <w:rPr>
          <w:rFonts w:eastAsia="Calibri"/>
          <w:lang w:val="en-US"/>
        </w:rPr>
        <w:t>Nayar</w:t>
      </w:r>
      <w:proofErr w:type="spellEnd"/>
      <w:r w:rsidRPr="0051476A">
        <w:rPr>
          <w:rFonts w:eastAsia="Calibri"/>
          <w:lang w:val="en-US"/>
        </w:rPr>
        <w:t xml:space="preserve"> was found at very high vulnerability level; </w:t>
      </w:r>
      <w:proofErr w:type="spellStart"/>
      <w:r w:rsidRPr="0051476A">
        <w:rPr>
          <w:rFonts w:eastAsia="Calibri"/>
          <w:lang w:val="en-US"/>
        </w:rPr>
        <w:t>Huajicori</w:t>
      </w:r>
      <w:proofErr w:type="spellEnd"/>
      <w:r w:rsidRPr="0051476A">
        <w:rPr>
          <w:rFonts w:eastAsia="Calibri"/>
          <w:lang w:val="en-US"/>
        </w:rPr>
        <w:t xml:space="preserve">, </w:t>
      </w:r>
      <w:proofErr w:type="spellStart"/>
      <w:r w:rsidRPr="0051476A">
        <w:rPr>
          <w:rFonts w:eastAsia="Calibri"/>
          <w:lang w:val="en-US"/>
        </w:rPr>
        <w:t>Acaponeta</w:t>
      </w:r>
      <w:proofErr w:type="spellEnd"/>
      <w:r w:rsidRPr="0051476A">
        <w:rPr>
          <w:rFonts w:eastAsia="Calibri"/>
          <w:lang w:val="en-US"/>
        </w:rPr>
        <w:t xml:space="preserve">, </w:t>
      </w:r>
      <w:proofErr w:type="spellStart"/>
      <w:r w:rsidRPr="0051476A">
        <w:rPr>
          <w:rFonts w:eastAsia="Calibri"/>
          <w:lang w:val="en-US"/>
        </w:rPr>
        <w:t>Rosamorada</w:t>
      </w:r>
      <w:proofErr w:type="spellEnd"/>
      <w:r w:rsidRPr="0051476A">
        <w:rPr>
          <w:rFonts w:eastAsia="Calibri"/>
          <w:lang w:val="en-US"/>
        </w:rPr>
        <w:t xml:space="preserve"> and Ruiz at high vulnerability level. On the other hand, the factors identified as drivers of vulnerability are deficient road structure, low economic activity and low schooling of the household head.</w:t>
      </w:r>
    </w:p>
    <w:p w14:paraId="3D17F74F" w14:textId="7F900D25" w:rsidR="007936FB" w:rsidRPr="00404708" w:rsidRDefault="00A21553" w:rsidP="007A4368">
      <w:pPr>
        <w:spacing w:after="0"/>
        <w:rPr>
          <w:lang w:val="en-US"/>
        </w:rPr>
      </w:pPr>
      <w:r w:rsidRPr="007A4368">
        <w:rPr>
          <w:rFonts w:asciiTheme="minorHAnsi" w:eastAsia="Times New Roman" w:hAnsiTheme="minorHAnsi" w:cstheme="minorHAnsi"/>
          <w:b/>
          <w:color w:val="000000"/>
          <w:sz w:val="28"/>
          <w:szCs w:val="28"/>
          <w:lang w:val="es-ES" w:eastAsia="es-ES"/>
        </w:rPr>
        <w:t>Keywords:</w:t>
      </w:r>
      <w:r w:rsidRPr="0051476A">
        <w:rPr>
          <w:rFonts w:cs="Times New Roman"/>
          <w:lang w:val="en-US"/>
        </w:rPr>
        <w:t xml:space="preserve"> </w:t>
      </w:r>
      <w:r w:rsidRPr="00404708">
        <w:rPr>
          <w:lang w:val="en-US"/>
        </w:rPr>
        <w:t>socio-economic development, index, food insecurity, Nayarit, schooling.</w:t>
      </w:r>
    </w:p>
    <w:p w14:paraId="02F4F0CD" w14:textId="77777777" w:rsidR="007936FB" w:rsidRPr="0051476A" w:rsidRDefault="007936FB" w:rsidP="007A4368">
      <w:pPr>
        <w:spacing w:after="0"/>
        <w:rPr>
          <w:rFonts w:cs="Times New Roman"/>
          <w:lang w:val="en-US"/>
        </w:rPr>
      </w:pPr>
    </w:p>
    <w:p w14:paraId="09C6912A" w14:textId="21BB9D94" w:rsidR="007936FB" w:rsidRPr="007A4368" w:rsidRDefault="00A21553" w:rsidP="007A4368">
      <w:pPr>
        <w:spacing w:after="0"/>
        <w:rPr>
          <w:rFonts w:asciiTheme="minorHAnsi" w:eastAsia="Times New Roman" w:hAnsiTheme="minorHAnsi" w:cstheme="minorHAnsi"/>
          <w:b/>
          <w:color w:val="000000"/>
          <w:sz w:val="28"/>
          <w:szCs w:val="28"/>
          <w:lang w:val="es-ES" w:eastAsia="es-ES"/>
        </w:rPr>
      </w:pPr>
      <w:r w:rsidRPr="007A4368">
        <w:rPr>
          <w:rFonts w:asciiTheme="minorHAnsi" w:eastAsia="Times New Roman" w:hAnsiTheme="minorHAnsi" w:cstheme="minorHAnsi"/>
          <w:b/>
          <w:color w:val="000000"/>
          <w:sz w:val="28"/>
          <w:szCs w:val="28"/>
          <w:lang w:val="es-ES" w:eastAsia="es-ES"/>
        </w:rPr>
        <w:t>Resumo</w:t>
      </w:r>
    </w:p>
    <w:p w14:paraId="1837AA2E" w14:textId="77777777" w:rsidR="007936FB" w:rsidRPr="0051476A" w:rsidRDefault="00A21553" w:rsidP="007A4368">
      <w:pPr>
        <w:spacing w:after="0"/>
        <w:rPr>
          <w:rFonts w:eastAsia="Calibri"/>
        </w:rPr>
      </w:pPr>
      <w:r w:rsidRPr="0051476A">
        <w:rPr>
          <w:rFonts w:eastAsia="Calibri"/>
        </w:rPr>
        <w:t>Este trabalho avalia a vulnerabilidade alimentar nos municípios de Nayarit com base na construção de um índice que considera três variáveis: desenvolvimento socioeconômico, insegurança alimentar e vulnerabilidade alimentar. Entre os resultados, o município de Del Nayar está localizado em um nível muito alto de vulnerabilidade; enquanto Huajicori, Acaponeta, Rosamorada e Ruiz em um alto nível de vulnerabilidade. Por outro lado, os fatores identificados como vetores de vulnerabilidade são a baixa oferta de estradas pavimentadas, a baixa atividade econômica e o baixo nível de escolaridade do chefe de família.</w:t>
      </w:r>
    </w:p>
    <w:p w14:paraId="17D51D2D" w14:textId="2A886EDE" w:rsidR="007936FB" w:rsidRPr="0051476A" w:rsidRDefault="00A21553" w:rsidP="007A4368">
      <w:pPr>
        <w:spacing w:after="0"/>
      </w:pPr>
      <w:proofErr w:type="spellStart"/>
      <w:r w:rsidRPr="007A4368">
        <w:rPr>
          <w:rFonts w:asciiTheme="minorHAnsi" w:eastAsia="Times New Roman" w:hAnsiTheme="minorHAnsi" w:cstheme="minorHAnsi"/>
          <w:b/>
          <w:color w:val="000000"/>
          <w:sz w:val="28"/>
          <w:szCs w:val="28"/>
          <w:lang w:val="es-ES" w:eastAsia="es-ES"/>
        </w:rPr>
        <w:lastRenderedPageBreak/>
        <w:t>Palavras</w:t>
      </w:r>
      <w:proofErr w:type="spellEnd"/>
      <w:r w:rsidRPr="007A4368">
        <w:rPr>
          <w:rFonts w:asciiTheme="minorHAnsi" w:eastAsia="Times New Roman" w:hAnsiTheme="minorHAnsi" w:cstheme="minorHAnsi"/>
          <w:b/>
          <w:color w:val="000000"/>
          <w:sz w:val="28"/>
          <w:szCs w:val="28"/>
          <w:lang w:val="es-ES" w:eastAsia="es-ES"/>
        </w:rPr>
        <w:t>-chave:</w:t>
      </w:r>
      <w:r w:rsidRPr="0051476A">
        <w:rPr>
          <w:rFonts w:eastAsia="Calibri" w:cs="Times New Roman"/>
        </w:rPr>
        <w:t xml:space="preserve"> </w:t>
      </w:r>
      <w:r w:rsidRPr="0051476A">
        <w:t>desenvolvimento socioeconômico, índice, insegurança alimentar, Nayarit, nível de escolaridade.</w:t>
      </w:r>
    </w:p>
    <w:p w14:paraId="1CF07464" w14:textId="62DB3442" w:rsidR="007936FB" w:rsidRPr="0051476A" w:rsidRDefault="00A21553" w:rsidP="007A4368">
      <w:pPr>
        <w:shd w:val="clear" w:color="auto" w:fill="FFFFFF"/>
        <w:spacing w:before="100" w:beforeAutospacing="1" w:after="0"/>
        <w:rPr>
          <w:rFonts w:cs="Times New Roman"/>
        </w:rPr>
      </w:pPr>
      <w:r w:rsidRPr="0051476A">
        <w:rPr>
          <w:rFonts w:cs="Times New Roman"/>
          <w:b/>
        </w:rPr>
        <w:t>Fecha recepción:</w:t>
      </w:r>
      <w:r w:rsidRPr="0051476A">
        <w:rPr>
          <w:rFonts w:cs="Times New Roman"/>
        </w:rPr>
        <w:t xml:space="preserve"> Enero 2019                                     </w:t>
      </w:r>
      <w:r w:rsidRPr="0051476A">
        <w:rPr>
          <w:rFonts w:cs="Times New Roman"/>
          <w:b/>
        </w:rPr>
        <w:t>Fecha aceptación:</w:t>
      </w:r>
      <w:r w:rsidRPr="0051476A">
        <w:rPr>
          <w:rFonts w:cs="Times New Roman"/>
        </w:rPr>
        <w:t xml:space="preserve"> Junio 2019</w:t>
      </w:r>
      <w:r w:rsidRPr="0051476A">
        <w:rPr>
          <w:rFonts w:cs="Times New Roman"/>
          <w:color w:val="000000"/>
        </w:rPr>
        <w:br/>
      </w:r>
      <w:r w:rsidR="007936FB">
        <w:rPr>
          <w:rFonts w:cs="Times New Roman"/>
        </w:rPr>
        <w:pict w14:anchorId="382C777B">
          <v:rect id="_x0000_i1025" style="width:446.5pt;height:1.5pt" o:hralign="center" o:hrstd="t" o:hr="t" fillcolor="#a0a0a0" stroked="f"/>
        </w:pict>
      </w:r>
    </w:p>
    <w:p w14:paraId="7E0E8A95" w14:textId="77777777" w:rsidR="007936FB" w:rsidRPr="0051476A" w:rsidRDefault="007936FB" w:rsidP="007A4368">
      <w:pPr>
        <w:spacing w:after="0"/>
        <w:rPr>
          <w:rFonts w:cs="Times New Roman"/>
          <w:b/>
        </w:rPr>
      </w:pPr>
    </w:p>
    <w:p w14:paraId="1053F413" w14:textId="7B1209CA" w:rsidR="007936FB" w:rsidRPr="0051476A" w:rsidRDefault="00A21553" w:rsidP="007A4368">
      <w:pPr>
        <w:spacing w:after="0"/>
        <w:jc w:val="center"/>
        <w:rPr>
          <w:rFonts w:cs="Times New Roman"/>
          <w:b/>
          <w:sz w:val="32"/>
          <w:szCs w:val="32"/>
        </w:rPr>
      </w:pPr>
      <w:r w:rsidRPr="0051476A">
        <w:rPr>
          <w:rFonts w:cs="Times New Roman"/>
          <w:b/>
          <w:sz w:val="32"/>
          <w:szCs w:val="32"/>
        </w:rPr>
        <w:t>Introducción</w:t>
      </w:r>
    </w:p>
    <w:p w14:paraId="7FC73326" w14:textId="6B116C49" w:rsidR="007936FB" w:rsidRPr="0051476A" w:rsidRDefault="00A21553" w:rsidP="007A4368">
      <w:pPr>
        <w:spacing w:after="0"/>
        <w:ind w:firstLine="708"/>
        <w:rPr>
          <w:rFonts w:cs="Times New Roman"/>
        </w:rPr>
      </w:pPr>
      <w:r w:rsidRPr="0051476A">
        <w:rPr>
          <w:rFonts w:cs="Times New Roman"/>
        </w:rPr>
        <w:t>Un índice es una agregación de un conjunto de indicadores individuales que da evidencia de un problema multifacético utilizando métodos matemáticos. Su principal objetivo es cuantificar y simplificar la información del conjunto de indicadores de manera que sea comprensible para todo tipo de público (Bas Cerdá, 2014). Con el tiempo, el número de índices aplicados a diferentes ámbitos de interés ha aumentado, ya que miden conceptos multidimensionales, son de importancia política y relevantes en la toma de decisiones (Granger, 2001); además, permiten establecer prioridades políticas (Saltelli, 2007).</w:t>
      </w:r>
    </w:p>
    <w:p w14:paraId="18022621" w14:textId="4019FA65" w:rsidR="007936FB" w:rsidRPr="0051476A" w:rsidRDefault="00A21553" w:rsidP="007A4368">
      <w:pPr>
        <w:spacing w:after="0"/>
        <w:ind w:firstLine="708"/>
        <w:rPr>
          <w:rFonts w:cs="Times New Roman"/>
        </w:rPr>
      </w:pPr>
      <w:r w:rsidRPr="0051476A">
        <w:rPr>
          <w:rFonts w:cs="Times New Roman"/>
        </w:rPr>
        <w:t xml:space="preserve">La construcción de índices es gradual. Primero se encuentra al conjunto de indicadores simples que acumulan información existente; después, en un segundo nivel, están los indicadores temáticos: son indicadores simples agrupados según tema o área específica. Y en un tercer nivel se ubican los índices que se generan al combinar los indicadores temáticos, que se presentan como una medida compuesta única (Freudenberg, 2003). Al construir índices es necesario estandarizar las variables para ponerlas en una base común y evitar problemas con la mezcla de unidades de medida. Respecto a estandarizar, el enfoque de la desviación estándar tiene características deseables cuando se trata de agregación y es el más usado (Freudenberg, 2003), ya que todas las variables se convierten en una escala común y asume una distribución normal, con un promedio de cero, lo que significa que evita introducir alteraciones derivadas de las diferencias en las medias. </w:t>
      </w:r>
    </w:p>
    <w:p w14:paraId="257D7411" w14:textId="3D477F95" w:rsidR="007936FB" w:rsidRPr="0051476A" w:rsidRDefault="00A21553" w:rsidP="007A4368">
      <w:pPr>
        <w:spacing w:after="0"/>
        <w:ind w:firstLine="708"/>
        <w:rPr>
          <w:rFonts w:cs="Times New Roman"/>
        </w:rPr>
      </w:pPr>
      <w:r w:rsidRPr="0051476A">
        <w:rPr>
          <w:rFonts w:cs="Times New Roman"/>
        </w:rPr>
        <w:t xml:space="preserve">Los índices de vulnerabilidad en el tema alimentario han contribuido con el diseño de políticas de Estado para erradicar la desnutrición crónica infantil; permiten identificar y priorizar la atención a la población más vulnerable (Ministerio de Desarrollo e Inclusión Social [Midis] y Organización de las Naciones Unidas para la Alimentación y la Agricultura [FAO], 2012). </w:t>
      </w:r>
    </w:p>
    <w:p w14:paraId="58DA6CDE" w14:textId="02879A52" w:rsidR="007936FB" w:rsidRPr="0051476A" w:rsidRDefault="00A21553" w:rsidP="007A4368">
      <w:pPr>
        <w:spacing w:after="0"/>
        <w:ind w:firstLine="708"/>
        <w:rPr>
          <w:rFonts w:cs="Times New Roman"/>
        </w:rPr>
      </w:pPr>
      <w:r w:rsidRPr="0051476A">
        <w:rPr>
          <w:rFonts w:cs="Times New Roman"/>
        </w:rPr>
        <w:lastRenderedPageBreak/>
        <w:t>La definición de seguridad alimentaria, aceptada por el Comité de Seguridad Alimentaria Mundial (CSA), es la siguiente: “Acceso material y económico a alimentos suficientes para todos los miembros del hogar, sin correr riesgos indebidos de perder dicho acceso”. Esta definición, según Thomson (1999), introduce el concepto de vulnerabilidad. Para el CSA, organismo perteneciente a la FAO, la vulnerabilidad de la seguridad alimentaria se refiere a toda la gama de factores que hacen que las personas queden expuestas a inseguridad alimentaria. Así, el análisis de vulnerabilidad alimentaria se ha desarrollado como una forma de identificar quién es incapaz de obtener alimentos y los factores que le restringen su acceso (Stephen y Downing, 2001).</w:t>
      </w:r>
    </w:p>
    <w:p w14:paraId="4E8F5F6F" w14:textId="7559D145" w:rsidR="007936FB" w:rsidRPr="0051476A" w:rsidRDefault="00A21553" w:rsidP="007A4368">
      <w:pPr>
        <w:spacing w:after="0"/>
        <w:ind w:firstLine="708"/>
        <w:rPr>
          <w:rFonts w:cs="Times New Roman"/>
        </w:rPr>
      </w:pPr>
      <w:r w:rsidRPr="0051476A">
        <w:rPr>
          <w:rFonts w:cs="Times New Roman"/>
        </w:rPr>
        <w:t>En la evaluación de vulnerabilidad en el tema alimentario se han usado índices globales que se construyen con diversas variables; se han utilizado fuentes de información secundarias, como censos de población y vivienda, tasas de desnutrición crónica y pobreza extrema, todas ellas agrupadas por componentes de seguridad alimentaria (Midis y FAO, 2012). También para índices globales se han usado datos de pobreza, desarrollo humano e inseguridad alimentaria (Instituto Nacional de Estadística y Censos [INEC], 2004). En otro caso se usaron datos de producción agropecuaria, población, red vial, ingreso, pobreza, emigración, enfermedades, acceso a agua y analfabetismo, todos ellos referidos al componente de seguridad alimentaria (Dumazert, 2008).</w:t>
      </w:r>
    </w:p>
    <w:p w14:paraId="6D4CF68B" w14:textId="6784FFC2" w:rsidR="007936FB" w:rsidRPr="0051476A" w:rsidRDefault="00A21553" w:rsidP="007A4368">
      <w:pPr>
        <w:spacing w:after="0"/>
        <w:ind w:firstLine="708"/>
        <w:rPr>
          <w:rFonts w:cs="Times New Roman"/>
        </w:rPr>
      </w:pPr>
      <w:r w:rsidRPr="0051476A">
        <w:rPr>
          <w:rFonts w:cs="Times New Roman"/>
        </w:rPr>
        <w:t>Hasta la fecha muchos de los estudios sobre vulnerabilidad se han centrado en la pobreza (Chaudhuri y Datt, 2001; Holzmann y Jørgensen, 2000; Ozughalu y Ogwumike, 2013; Figueroa, 2005), lo que indica que la población de bajos recursos es la más vulnerable. Sin embargo, los modelos utilizados en estos análisis no incorporan la capacidad de adaptación y, por lo tanto, no consideran que la población desarrolla mecanismos para enfrentar eventos desfavorables. Por otra parte, centrándose únicamente en la pobreza, se excluyen las diversas estrategias que la población tiene para acceder a los alimentos. Asimismo, no identifica las preferencias alimenticias de la población.</w:t>
      </w:r>
    </w:p>
    <w:p w14:paraId="13FFD1B1" w14:textId="381C4431" w:rsidR="007936FB" w:rsidRPr="0051476A" w:rsidRDefault="00A21553" w:rsidP="007A4368">
      <w:pPr>
        <w:spacing w:after="0"/>
        <w:ind w:firstLine="567"/>
        <w:rPr>
          <w:rFonts w:cs="Times New Roman"/>
          <w:lang w:val="es-ES"/>
        </w:rPr>
      </w:pPr>
      <w:r w:rsidRPr="0051476A">
        <w:rPr>
          <w:rFonts w:cs="Times New Roman"/>
          <w:lang w:val="es-ES"/>
        </w:rPr>
        <w:t xml:space="preserve">En situación de crisis, la vulnerabilidad se relaciona con activos que pueden movilizar a los hogares o comunidades (Salomone, 2016). Es un concepto dinámico que cambia según diversos factores </w:t>
      </w:r>
      <w:r w:rsidRPr="0051476A">
        <w:rPr>
          <w:rFonts w:cs="Times New Roman"/>
          <w:lang w:val="es-ES"/>
        </w:rPr>
        <w:fldChar w:fldCharType="begin"/>
      </w:r>
      <w:r w:rsidRPr="0051476A">
        <w:rPr>
          <w:rFonts w:cs="Times New Roman"/>
          <w:lang w:val="es-ES"/>
        </w:rPr>
        <w:instrText xml:space="preserve"> ADDIN EN.CITE &lt;EndNote&gt;&lt;Cite&gt;&lt;Author&gt;Bengoa&lt;/Author&gt;&lt;Year&gt;1996&lt;/Year&gt;&lt;RecNum&gt;60&lt;/RecNum&gt;&lt;DisplayText&gt;(Bengoa, 1996)&lt;/DisplayText&gt;&lt;record&gt;&lt;rec-number&gt;60&lt;/rec-number&gt;&lt;foreign-keys&gt;&lt;key app="EN" db-id="tp02dsdv45ez5hea2ae5ftfnxew0x92w9t99"&gt;60&lt;/key&gt;&lt;/foreign-keys&gt;&lt;ref-type name="Journal Article"&gt;17&lt;/ref-type&gt;&lt;contributors&gt;&lt;authors&gt;&lt;author&gt;Bengoa, José&lt;/author&gt;&lt;/authors&gt;&lt;/contributors&gt;&lt;titles&gt;&lt;title&gt;POBREZA Y VULNERABILIDAD (1)&lt;/title&gt;&lt;/titles&gt;&lt;dates&gt;&lt;year&gt;1996&lt;/year&gt;&lt;/dates&gt;&lt;urls&gt;&lt;/urls&gt;&lt;/record&gt;&lt;/Cite&gt;&lt;/EndNote&gt;</w:instrText>
      </w:r>
      <w:r w:rsidRPr="0051476A">
        <w:rPr>
          <w:rFonts w:cs="Times New Roman"/>
          <w:lang w:val="es-ES"/>
        </w:rPr>
        <w:fldChar w:fldCharType="separate"/>
      </w:r>
      <w:r w:rsidRPr="0051476A">
        <w:rPr>
          <w:rFonts w:cs="Times New Roman"/>
          <w:noProof/>
          <w:lang w:val="es-ES"/>
        </w:rPr>
        <w:t>(</w:t>
      </w:r>
      <w:hyperlink w:anchor="_ENREF_2" w:tooltip="Bengoa, 1996 #60" w:history="1">
        <w:r w:rsidRPr="0051476A">
          <w:rPr>
            <w:rFonts w:cs="Times New Roman"/>
            <w:noProof/>
            <w:lang w:val="es-ES"/>
          </w:rPr>
          <w:t>Bengoa, 1996</w:t>
        </w:r>
      </w:hyperlink>
      <w:r w:rsidRPr="0051476A">
        <w:rPr>
          <w:rFonts w:cs="Times New Roman"/>
          <w:noProof/>
          <w:lang w:val="es-ES"/>
        </w:rPr>
        <w:t>)</w:t>
      </w:r>
      <w:r w:rsidRPr="0051476A">
        <w:rPr>
          <w:rFonts w:cs="Times New Roman"/>
          <w:lang w:val="es-ES"/>
        </w:rPr>
        <w:fldChar w:fldCharType="end"/>
      </w:r>
      <w:r w:rsidRPr="0051476A">
        <w:rPr>
          <w:rFonts w:cs="Times New Roman"/>
          <w:lang w:val="es-ES"/>
        </w:rPr>
        <w:t xml:space="preserve">. De hecho, se ha considerado que el nivel de vulnerabilidad depende de la posesión de activos, también llamados </w:t>
      </w:r>
      <w:r w:rsidRPr="0051476A">
        <w:rPr>
          <w:rFonts w:cs="Times New Roman"/>
          <w:i/>
          <w:iCs/>
          <w:lang w:val="es-ES"/>
        </w:rPr>
        <w:t>capitales</w:t>
      </w:r>
      <w:r w:rsidRPr="0051476A">
        <w:rPr>
          <w:rFonts w:cs="Times New Roman"/>
          <w:lang w:val="es-ES"/>
        </w:rPr>
        <w:t xml:space="preserve"> </w:t>
      </w:r>
      <w:r w:rsidRPr="0051476A">
        <w:rPr>
          <w:rFonts w:cs="Times New Roman"/>
          <w:lang w:val="es-ES"/>
        </w:rPr>
        <w:fldChar w:fldCharType="begin"/>
      </w:r>
      <w:r w:rsidRPr="0051476A">
        <w:rPr>
          <w:rFonts w:cs="Times New Roman"/>
          <w:lang w:val="es-ES"/>
        </w:rPr>
        <w:instrText xml:space="preserve"> ADDIN EN.CITE &lt;EndNote&gt;&lt;Cite&gt;&lt;Author&gt;Kaztman&lt;/Author&gt;&lt;Year&gt;1999&lt;/Year&gt;&lt;RecNum&gt;83&lt;/RecNum&gt;&lt;DisplayText&gt;(Kaztman &amp;amp; Filgueira, 1999)&lt;/DisplayText&gt;&lt;record&gt;&lt;rec-number&gt;83&lt;/rec-number&gt;&lt;foreign-keys&gt;&lt;key app="EN" db-id="tp02dsdv45ez5hea2ae5ftfnxew0x92w9t99"&gt;83&lt;/key&gt;&lt;/foreign-keys&gt;&lt;ref-type name="Journal Article"&gt;17&lt;/ref-type&gt;&lt;contributors&gt;&lt;authors&gt;&lt;author&gt;Kaztman, Ruben&lt;/author&gt;&lt;author&gt;Filgueira, Carlos&lt;/author&gt;&lt;/authors&gt;&lt;/contributors&gt;&lt;titles&gt;&lt;title&gt;Marco conceptual sobre activos, vulnerabilidad y estructura de oportunidades&lt;/title&gt;&lt;secondary-title&gt;_____. Apoyo a la implementación del Programa de Acción de la Cumbre Mundial sobre Desarrollo Social. Montevideo: CEPAL&lt;/secondary-title&gt;&lt;/titles&gt;&lt;periodical&gt;&lt;full-title&gt;_____. Apoyo a la implementación del Programa de Acción de la Cumbre Mundial sobre Desarrollo Social. Montevideo: CEPAL&lt;/full-title&gt;&lt;/periodical&gt;&lt;pages&gt;7-23&lt;/pages&gt;&lt;dates&gt;&lt;year&gt;1999&lt;/year&gt;&lt;/dates&gt;&lt;urls&gt;&lt;/urls&gt;&lt;/record&gt;&lt;/Cite&gt;&lt;/EndNote&gt;</w:instrText>
      </w:r>
      <w:r w:rsidRPr="0051476A">
        <w:rPr>
          <w:rFonts w:cs="Times New Roman"/>
          <w:lang w:val="es-ES"/>
        </w:rPr>
        <w:fldChar w:fldCharType="separate"/>
      </w:r>
      <w:r w:rsidRPr="0051476A">
        <w:rPr>
          <w:rFonts w:cs="Times New Roman"/>
          <w:noProof/>
          <w:lang w:val="es-ES"/>
        </w:rPr>
        <w:t>(</w:t>
      </w:r>
      <w:hyperlink w:anchor="_ENREF_11" w:tooltip="Kaztman, 1999 #83" w:history="1">
        <w:r w:rsidRPr="0051476A">
          <w:rPr>
            <w:rFonts w:cs="Times New Roman"/>
            <w:noProof/>
            <w:lang w:val="es-ES"/>
          </w:rPr>
          <w:t>Kaztman y Filgueira, 1999</w:t>
        </w:r>
      </w:hyperlink>
      <w:r w:rsidRPr="0051476A">
        <w:rPr>
          <w:rFonts w:cs="Times New Roman"/>
          <w:noProof/>
          <w:lang w:val="es-ES"/>
        </w:rPr>
        <w:t>)</w:t>
      </w:r>
      <w:r w:rsidRPr="0051476A">
        <w:rPr>
          <w:rFonts w:cs="Times New Roman"/>
          <w:lang w:val="es-ES"/>
        </w:rPr>
        <w:fldChar w:fldCharType="end"/>
      </w:r>
      <w:r w:rsidRPr="0051476A">
        <w:rPr>
          <w:rFonts w:cs="Times New Roman"/>
          <w:lang w:val="es-ES"/>
        </w:rPr>
        <w:t xml:space="preserve">. Los capitales son aquellos recursos con los que cuenta una comunidad (Gutiérrez y Siles, </w:t>
      </w:r>
      <w:r w:rsidRPr="0051476A">
        <w:rPr>
          <w:rFonts w:cs="Times New Roman"/>
          <w:lang w:val="es-ES"/>
        </w:rPr>
        <w:lastRenderedPageBreak/>
        <w:t xml:space="preserve">2008). Sin embargo, </w:t>
      </w:r>
      <w:proofErr w:type="spellStart"/>
      <w:r w:rsidRPr="0051476A">
        <w:rPr>
          <w:rFonts w:cs="Times New Roman"/>
          <w:lang w:val="es-ES"/>
        </w:rPr>
        <w:t>Filgueira</w:t>
      </w:r>
      <w:proofErr w:type="spellEnd"/>
      <w:r w:rsidRPr="0051476A">
        <w:rPr>
          <w:rFonts w:cs="Times New Roman"/>
          <w:lang w:val="es-ES"/>
        </w:rPr>
        <w:t xml:space="preserve"> y Peri (2004) y </w:t>
      </w:r>
      <w:proofErr w:type="spellStart"/>
      <w:r w:rsidRPr="0051476A">
        <w:rPr>
          <w:rFonts w:cs="Times New Roman"/>
          <w:lang w:val="es-ES"/>
        </w:rPr>
        <w:t>Kaztman</w:t>
      </w:r>
      <w:proofErr w:type="spellEnd"/>
      <w:r w:rsidRPr="0051476A">
        <w:rPr>
          <w:rFonts w:cs="Times New Roman"/>
          <w:lang w:val="es-ES"/>
        </w:rPr>
        <w:t xml:space="preserve"> (2000) consideran que además de los activos disponibles en los hogares se debe considerar cómo estos se relacionan con la estructura de oportunidades integradas por el Estado y la sociedad.</w:t>
      </w:r>
    </w:p>
    <w:p w14:paraId="285F5580" w14:textId="213CEA08" w:rsidR="007936FB" w:rsidRPr="0051476A" w:rsidRDefault="00A21553" w:rsidP="007A4368">
      <w:pPr>
        <w:spacing w:after="0"/>
        <w:ind w:firstLine="708"/>
        <w:rPr>
          <w:rFonts w:cs="Times New Roman"/>
          <w:lang w:val="es-ES"/>
        </w:rPr>
      </w:pPr>
      <w:r w:rsidRPr="0051476A">
        <w:rPr>
          <w:rFonts w:cs="Times New Roman"/>
        </w:rPr>
        <w:t>En su trabajo empírico, Moser (1998) encuentra que cuantos más activos tenga una persona o comunidad es menos vulnerable. En este sentido, el concepto de activos en este trabajo se asocia con capacidad adaptativa.</w:t>
      </w:r>
    </w:p>
    <w:p w14:paraId="6C5FDFF8" w14:textId="3F83814A" w:rsidR="007936FB" w:rsidRPr="0051476A" w:rsidRDefault="00A21553" w:rsidP="007A4368">
      <w:pPr>
        <w:spacing w:after="0"/>
        <w:ind w:firstLine="567"/>
        <w:rPr>
          <w:rFonts w:cs="Times New Roman"/>
          <w:lang w:val="es-ES"/>
        </w:rPr>
      </w:pPr>
      <w:r w:rsidRPr="0051476A">
        <w:rPr>
          <w:rFonts w:cs="Times New Roman"/>
        </w:rPr>
        <w:t xml:space="preserve"> </w:t>
      </w:r>
      <w:r w:rsidRPr="0051476A">
        <w:rPr>
          <w:rFonts w:cs="Times New Roman"/>
        </w:rPr>
        <w:tab/>
      </w:r>
      <w:r w:rsidRPr="0051476A">
        <w:rPr>
          <w:rFonts w:cs="Times New Roman"/>
          <w:lang w:val="es-ES"/>
        </w:rPr>
        <w:t xml:space="preserve">Una manera completa de abordar la vulnerabilidad es la propuesta por </w:t>
      </w:r>
      <w:r w:rsidRPr="0051476A">
        <w:rPr>
          <w:rFonts w:cs="Times New Roman"/>
          <w:lang w:val="es-ES"/>
        </w:rPr>
        <w:fldChar w:fldCharType="begin"/>
      </w:r>
      <w:r w:rsidRPr="0051476A">
        <w:rPr>
          <w:rFonts w:cs="Times New Roman"/>
          <w:lang w:val="es-ES"/>
        </w:rPr>
        <w:instrText xml:space="preserve"> ADDIN EN.CITE &lt;EndNote&gt;&lt;Cite AuthorYear="1"&gt;&lt;Author&gt;Hughes&lt;/Author&gt;&lt;Year&gt;2012&lt;/Year&gt;&lt;RecNum&gt;42&lt;/RecNum&gt;&lt;DisplayText&gt;Hughes et al. (2012)&lt;/DisplayText&gt;&lt;record&gt;&lt;rec-number&gt;42&lt;/rec-number&gt;&lt;foreign-keys&gt;&lt;key app="EN" db-id="tp02dsdv45ez5hea2ae5ftfnxew0x92w9t99"&gt;42&lt;/key&gt;&lt;/foreign-keys&gt;&lt;ref-type name="Journal Article"&gt;17&lt;/ref-type&gt;&lt;contributors&gt;&lt;authors&gt;&lt;author&gt;Hughes, Sara&lt;/author&gt;&lt;author&gt;Yau, Annie&lt;/author&gt;&lt;author&gt;Max, Lisa&lt;/author&gt;&lt;author&gt;Petrovic, Nada&lt;/author&gt;&lt;author&gt;Davenport, Frank&lt;/author&gt;&lt;author&gt;Marshall, Michael&lt;/author&gt;&lt;author&gt;McClanahan, Timothy R.&lt;/author&gt;&lt;author&gt;Allison, Edward H.&lt;/author&gt;&lt;author&gt;Cinner, Joshua E.&lt;/author&gt;&lt;/authors&gt;&lt;/contributors&gt;&lt;titles&gt;&lt;title&gt;A framework to assess national level vulnerability from the perspective of food security: The case of coral reef fisheries&lt;/title&gt;&lt;secondary-title&gt;Environmental Science &amp;amp; Policy&lt;/secondary-title&gt;&lt;/titles&gt;&lt;periodical&gt;&lt;full-title&gt;Environmental Science &amp;amp; Policy&lt;/full-title&gt;&lt;/periodical&gt;&lt;pages&gt;95-108&lt;/pages&gt;&lt;volume&gt;23&lt;/volume&gt;&lt;number&gt;0&lt;/number&gt;&lt;keywords&gt;&lt;keyword&gt;Adaptive capacity&lt;/keyword&gt;&lt;keyword&gt;Exposure&lt;/keyword&gt;&lt;keyword&gt;Resilience&lt;/keyword&gt;&lt;keyword&gt;Sensitivity&lt;/keyword&gt;&lt;keyword&gt;Developing countries&lt;/keyword&gt;&lt;keyword&gt;Social-ecological systems&lt;/keyword&gt;&lt;keyword&gt;Climate change&lt;/keyword&gt;&lt;/keywords&gt;&lt;dates&gt;&lt;year&gt;2012&lt;/year&gt;&lt;pub-dates&gt;&lt;date&gt;11//&lt;/date&gt;&lt;/pub-dates&gt;&lt;/dates&gt;&lt;isbn&gt;1462-9011&lt;/isbn&gt;&lt;urls&gt;&lt;related-urls&gt;&lt;url&gt;http://www.sciencedirect.com/science/article/pii/S1462901112001086&lt;/url&gt;&lt;/related-urls&gt;&lt;/urls&gt;&lt;electronic-resource-num&gt;http://dx.doi.org/10.1016/j.envsci.2012.07.012&lt;/electronic-resource-num&gt;&lt;/record&gt;&lt;/Cite&gt;&lt;/EndNote&gt;</w:instrText>
      </w:r>
      <w:r w:rsidRPr="0051476A">
        <w:rPr>
          <w:rFonts w:cs="Times New Roman"/>
          <w:lang w:val="es-ES"/>
        </w:rPr>
        <w:fldChar w:fldCharType="separate"/>
      </w:r>
      <w:r w:rsidRPr="0051476A">
        <w:rPr>
          <w:rFonts w:cs="Times New Roman"/>
          <w:noProof/>
          <w:lang w:val="es-ES"/>
        </w:rPr>
        <w:t xml:space="preserve">Hughes </w:t>
      </w:r>
      <w:r w:rsidRPr="0051476A">
        <w:rPr>
          <w:rFonts w:cs="Times New Roman"/>
          <w:i/>
          <w:noProof/>
          <w:lang w:val="es-ES"/>
        </w:rPr>
        <w:t>et al</w:t>
      </w:r>
      <w:r w:rsidRPr="0051476A">
        <w:rPr>
          <w:rFonts w:cs="Times New Roman"/>
          <w:noProof/>
          <w:lang w:val="es-ES"/>
        </w:rPr>
        <w:t>. (2012)</w:t>
      </w:r>
      <w:r w:rsidRPr="0051476A">
        <w:rPr>
          <w:rFonts w:cs="Times New Roman"/>
          <w:lang w:val="es-ES"/>
        </w:rPr>
        <w:fldChar w:fldCharType="end"/>
      </w:r>
      <w:r w:rsidRPr="0051476A">
        <w:rPr>
          <w:rFonts w:cs="Times New Roman"/>
          <w:lang w:val="es-ES"/>
        </w:rPr>
        <w:t>. En esta se incluyen a la exposición y la sensibilidad de un sistema a estresores simples o múltiples y la capacidad del sistema a ajustarse o capitalizarse exitosamente a los efectos de estos estresores.</w:t>
      </w:r>
    </w:p>
    <w:p w14:paraId="100A87E1" w14:textId="0575F860" w:rsidR="007936FB" w:rsidRPr="0051476A" w:rsidRDefault="00A21553" w:rsidP="007A4368">
      <w:pPr>
        <w:spacing w:after="0"/>
        <w:ind w:firstLine="708"/>
        <w:rPr>
          <w:rFonts w:cs="Times New Roman"/>
        </w:rPr>
      </w:pPr>
      <w:r w:rsidRPr="0051476A">
        <w:rPr>
          <w:rFonts w:cs="Times New Roman"/>
        </w:rPr>
        <w:t>En el marco de las consideraciones anteriores, al analizar integralmente la vulnerabilidad alimentaria es importante incorporar componentes relevantes que contribuyen a la vulnerabilidad, incluyendo la exposición, la sensibilidad y la capacidad adaptativa; así como factores de desarrollo socioeconómico</w:t>
      </w:r>
      <w:r w:rsidRPr="0051476A">
        <w:rPr>
          <w:rFonts w:cs="Times New Roman"/>
          <w:color w:val="FF0000"/>
        </w:rPr>
        <w:t xml:space="preserve"> </w:t>
      </w:r>
      <w:r w:rsidRPr="0051476A">
        <w:rPr>
          <w:rFonts w:cs="Times New Roman"/>
        </w:rPr>
        <w:t>y de seguridad alimentaria estimada a partir de la experiencia en hogares. Asimismo, al integrar todas estas dimensiones —vulnerabilidad, desarrollo socioeconómico y seguridad alimentaria—, es importante vincularlas con los elementos de seguridad alimentaria (disponibilidad, acceso, estabilidad y utilización).</w:t>
      </w:r>
    </w:p>
    <w:p w14:paraId="5275D901" w14:textId="19C62091" w:rsidR="007936FB" w:rsidRPr="0051476A" w:rsidRDefault="00A21553" w:rsidP="007A4368">
      <w:pPr>
        <w:spacing w:after="0"/>
        <w:ind w:firstLine="708"/>
        <w:rPr>
          <w:rFonts w:cs="Times New Roman"/>
          <w:color w:val="000000"/>
          <w:sz w:val="32"/>
          <w:szCs w:val="32"/>
        </w:rPr>
      </w:pPr>
      <w:r w:rsidRPr="0051476A">
        <w:rPr>
          <w:rFonts w:cs="Times New Roman"/>
        </w:rPr>
        <w:t xml:space="preserve">El objetivo principal de este trabajo fue identificar factores impulsores de vulnerabilidad alimentaria </w:t>
      </w:r>
      <w:r w:rsidRPr="0051476A">
        <w:rPr>
          <w:rFonts w:eastAsia="Calibri" w:cs="Times New Roman"/>
        </w:rPr>
        <w:t xml:space="preserve">en los municipios del estado de Nayarit, partiendo de un </w:t>
      </w:r>
      <w:r w:rsidRPr="0051476A">
        <w:rPr>
          <w:rFonts w:cs="Times New Roman"/>
        </w:rPr>
        <w:t>índice de impulsores socioeconómicos de la vulnerabilidad a la inseguridad alimentaria</w:t>
      </w:r>
      <w:r w:rsidRPr="0051476A">
        <w:rPr>
          <w:rFonts w:eastAsia="Calibri" w:cs="Times New Roman"/>
        </w:rPr>
        <w:t xml:space="preserve"> que considera variables socioeconómicas, de seguridad alimentaria y vulnerabilidad alimentaria.</w:t>
      </w:r>
      <w:r w:rsidRPr="0051476A">
        <w:rPr>
          <w:rFonts w:cs="Times New Roman"/>
          <w:color w:val="000000"/>
          <w:sz w:val="32"/>
          <w:szCs w:val="32"/>
        </w:rPr>
        <w:t xml:space="preserve"> </w:t>
      </w:r>
    </w:p>
    <w:p w14:paraId="7A8D12D0" w14:textId="0BAE929E" w:rsidR="007936FB" w:rsidRPr="0051476A" w:rsidRDefault="00A21553" w:rsidP="007A4368">
      <w:pPr>
        <w:spacing w:after="0"/>
        <w:ind w:firstLine="708"/>
        <w:rPr>
          <w:rFonts w:cs="Times New Roman"/>
          <w:bCs/>
          <w:lang w:val="es-ES"/>
        </w:rPr>
      </w:pPr>
      <w:r w:rsidRPr="0051476A">
        <w:rPr>
          <w:rFonts w:cs="Times New Roman"/>
          <w:bCs/>
          <w:lang w:val="es-ES"/>
        </w:rPr>
        <w:t xml:space="preserve">En Nayarit se identifican tres municipios en condiciones socioeconómicas desfavorables: Del Nayar, La Yesca y </w:t>
      </w:r>
      <w:proofErr w:type="spellStart"/>
      <w:r w:rsidRPr="0051476A">
        <w:rPr>
          <w:rFonts w:cs="Times New Roman"/>
          <w:bCs/>
          <w:lang w:val="es-ES"/>
        </w:rPr>
        <w:t>Huajicori</w:t>
      </w:r>
      <w:proofErr w:type="spellEnd"/>
      <w:r w:rsidRPr="0051476A">
        <w:rPr>
          <w:rFonts w:cs="Times New Roman"/>
          <w:bCs/>
          <w:lang w:val="es-ES"/>
        </w:rPr>
        <w:t>; ahí se concentra la mayor parte de la población indígena del estado. Estos tres municipios, que se localizan en la zona serrana y se distribuyen en 42 % de la superficie estatal, están conformados por 1037 localidades dispersas y de difícil acceso, distantes de los centros de actividad económica y de comercialización. El Consejo Nacional de Evaluación de la Política de Desarrollo Social [Coneval] (2017) reporta esta zona con los rangos más altos (75 %-100 %) de población en situación de pobreza. Del Nayar, el municipio con mayor pobreza, ocupó el lugar 41 para el año 2015, con 23 916 personas en pobreza extrema.</w:t>
      </w:r>
    </w:p>
    <w:p w14:paraId="3A014E90" w14:textId="77777777" w:rsidR="007936FB" w:rsidRPr="0051476A" w:rsidRDefault="007936FB" w:rsidP="007A4368">
      <w:pPr>
        <w:spacing w:after="0"/>
        <w:rPr>
          <w:rFonts w:cs="Times New Roman"/>
          <w:b/>
        </w:rPr>
      </w:pPr>
    </w:p>
    <w:p w14:paraId="61A1107D" w14:textId="2C4DA6B6" w:rsidR="007936FB" w:rsidRPr="0051476A" w:rsidRDefault="00A21553" w:rsidP="007A4368">
      <w:pPr>
        <w:spacing w:after="0"/>
        <w:jc w:val="center"/>
        <w:rPr>
          <w:rFonts w:cs="Times New Roman"/>
          <w:sz w:val="32"/>
          <w:szCs w:val="32"/>
        </w:rPr>
      </w:pPr>
      <w:r w:rsidRPr="0051476A">
        <w:rPr>
          <w:rFonts w:cs="Times New Roman"/>
          <w:b/>
          <w:sz w:val="32"/>
          <w:szCs w:val="32"/>
        </w:rPr>
        <w:lastRenderedPageBreak/>
        <w:t>Material y método</w:t>
      </w:r>
    </w:p>
    <w:p w14:paraId="7B028371" w14:textId="74CB6F25" w:rsidR="007936FB" w:rsidRPr="0051476A" w:rsidRDefault="00A21553" w:rsidP="007A4368">
      <w:pPr>
        <w:spacing w:after="0"/>
        <w:ind w:firstLine="708"/>
        <w:rPr>
          <w:rFonts w:cs="Times New Roman"/>
        </w:rPr>
      </w:pPr>
      <w:r w:rsidRPr="0051476A">
        <w:rPr>
          <w:rFonts w:cs="Times New Roman"/>
        </w:rPr>
        <w:t>Primeramente, se elaboró un modelo causal de la vulnerabilidad alimentaria. Se determinó que los componentes que reflejan la realidad de la vulnerabilidad están representados por los índices temáticos: desarrollo socioeconómico, inseguridad alimentaria y vulnerabilidad alimentaria. Finalmente, integrando estos índices temáticos, se construyó el</w:t>
      </w:r>
      <w:r w:rsidRPr="0051476A">
        <w:rPr>
          <w:rFonts w:cs="Times New Roman"/>
          <w:b/>
        </w:rPr>
        <w:t xml:space="preserve"> </w:t>
      </w:r>
      <w:r w:rsidRPr="0051476A">
        <w:rPr>
          <w:rFonts w:cs="Times New Roman"/>
          <w:bCs/>
        </w:rPr>
        <w:t>“Índice de impulsores socioeconómicos de la vulnerabilidad a la inseguridad alimentaria” (</w:t>
      </w:r>
      <w:r w:rsidRPr="0051476A">
        <w:rPr>
          <w:rFonts w:cs="Times New Roman"/>
          <w:iCs/>
        </w:rPr>
        <w:t>ISEV</w:t>
      </w:r>
      <w:r w:rsidRPr="0051476A">
        <w:rPr>
          <w:rFonts w:cs="Times New Roman"/>
        </w:rPr>
        <w:t>), como se muestra en el esquema metodológico en la figura 1.</w:t>
      </w:r>
    </w:p>
    <w:p w14:paraId="1D59E5CF" w14:textId="77777777" w:rsidR="004F4C7C" w:rsidRPr="0051476A" w:rsidRDefault="004F4C7C" w:rsidP="007A4368">
      <w:pPr>
        <w:spacing w:after="0"/>
        <w:ind w:firstLine="567"/>
        <w:rPr>
          <w:rFonts w:cs="Times New Roman"/>
        </w:rPr>
      </w:pPr>
    </w:p>
    <w:p w14:paraId="41385770" w14:textId="4A6D5A30" w:rsidR="007936FB" w:rsidRPr="0051476A" w:rsidRDefault="00A21553" w:rsidP="007A4368">
      <w:pPr>
        <w:spacing w:after="0"/>
        <w:jc w:val="center"/>
        <w:rPr>
          <w:rFonts w:eastAsia="Calibri" w:cs="Times New Roman"/>
        </w:rPr>
      </w:pPr>
      <w:r w:rsidRPr="0051476A">
        <w:rPr>
          <w:rFonts w:eastAsia="Calibri" w:cs="Times New Roman"/>
          <w:b/>
          <w:bCs/>
        </w:rPr>
        <w:t>Figura 1</w:t>
      </w:r>
      <w:r w:rsidRPr="0051476A">
        <w:rPr>
          <w:rFonts w:eastAsia="Calibri" w:cs="Times New Roman"/>
        </w:rPr>
        <w:t xml:space="preserve">. Proceso metodológico del </w:t>
      </w:r>
      <w:r w:rsidRPr="0051476A">
        <w:rPr>
          <w:rFonts w:cs="Times New Roman"/>
          <w:iCs/>
        </w:rPr>
        <w:t>ISEV</w:t>
      </w:r>
    </w:p>
    <w:p w14:paraId="6D514252" w14:textId="77777777" w:rsidR="00404708" w:rsidRDefault="00404708" w:rsidP="007A4368">
      <w:pPr>
        <w:spacing w:after="0"/>
        <w:ind w:firstLine="567"/>
        <w:jc w:val="center"/>
        <w:rPr>
          <w:rFonts w:cs="Times New Roman"/>
        </w:rPr>
      </w:pPr>
      <w:r>
        <w:rPr>
          <w:rFonts w:cs="Times New Roman"/>
          <w:noProof/>
        </w:rPr>
        <w:drawing>
          <wp:inline distT="0" distB="0" distL="0" distR="0" wp14:anchorId="5D2DE212" wp14:editId="305BE2ED">
            <wp:extent cx="3667125" cy="406672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0300" cy="4070243"/>
                    </a:xfrm>
                    <a:prstGeom prst="rect">
                      <a:avLst/>
                    </a:prstGeom>
                    <a:noFill/>
                  </pic:spPr>
                </pic:pic>
              </a:graphicData>
            </a:graphic>
          </wp:inline>
        </w:drawing>
      </w:r>
    </w:p>
    <w:p w14:paraId="0EB654C2" w14:textId="616A35C1" w:rsidR="007936FB" w:rsidRPr="0051476A" w:rsidRDefault="00A21553" w:rsidP="007A4368">
      <w:pPr>
        <w:spacing w:after="0"/>
        <w:ind w:firstLine="567"/>
        <w:jc w:val="center"/>
        <w:rPr>
          <w:rFonts w:cs="Times New Roman"/>
        </w:rPr>
      </w:pPr>
      <w:r w:rsidRPr="0051476A">
        <w:rPr>
          <w:rFonts w:cs="Times New Roman"/>
          <w:bCs/>
        </w:rPr>
        <w:t>Fuente:</w:t>
      </w:r>
      <w:r w:rsidRPr="0051476A">
        <w:rPr>
          <w:rFonts w:cs="Times New Roman"/>
        </w:rPr>
        <w:t xml:space="preserve"> Elaboración propia</w:t>
      </w:r>
    </w:p>
    <w:p w14:paraId="0074B694" w14:textId="3ED85F80" w:rsidR="007936FB" w:rsidRPr="0051476A" w:rsidRDefault="00A21553" w:rsidP="007A4368">
      <w:pPr>
        <w:spacing w:after="0"/>
        <w:ind w:firstLine="708"/>
        <w:rPr>
          <w:rFonts w:cs="Times New Roman"/>
        </w:rPr>
      </w:pPr>
      <w:r w:rsidRPr="0051476A">
        <w:rPr>
          <w:rFonts w:cs="Times New Roman"/>
        </w:rPr>
        <w:t xml:space="preserve">Así, la evaluación de la vulnerabilidad alimentaria en los municipios de Nayarit se hizo a partir del </w:t>
      </w:r>
      <w:r w:rsidRPr="0051476A">
        <w:rPr>
          <w:rFonts w:cs="Times New Roman"/>
          <w:iCs/>
        </w:rPr>
        <w:t>ISEV</w:t>
      </w:r>
      <w:r w:rsidRPr="0051476A">
        <w:rPr>
          <w:rFonts w:cs="Times New Roman"/>
          <w:bCs/>
        </w:rPr>
        <w:t>,</w:t>
      </w:r>
      <w:r w:rsidRPr="0051476A">
        <w:rPr>
          <w:rFonts w:cs="Times New Roman"/>
        </w:rPr>
        <w:t xml:space="preserve"> que se obtuvo promediando los índices de desarrollo socioeconómico, inseguridad alimentaria y vulnerabilidad alimentaria. El valor del índice de desarrollo socioeconómico se multiplicó por -1 antes de promediarlo, ya que tiene un significado inverso a la vulnerabilidad alimentaria. La relación funcional fue:</w:t>
      </w:r>
    </w:p>
    <w:p w14:paraId="188CF25B" w14:textId="0DD47ADC" w:rsidR="007936FB" w:rsidRPr="0051476A" w:rsidRDefault="00A21553" w:rsidP="007A4368">
      <w:pPr>
        <w:spacing w:after="0"/>
        <w:ind w:firstLine="567"/>
        <w:rPr>
          <w:rFonts w:cs="Times New Roman"/>
        </w:rPr>
      </w:pPr>
      <m:oMathPara>
        <m:oMath>
          <m:r>
            <w:rPr>
              <w:rFonts w:ascii="Cambria Math" w:hAnsi="Cambria Math" w:cs="Times New Roman"/>
            </w:rPr>
            <w:lastRenderedPageBreak/>
            <m:t>ISEV=f (</m:t>
          </m:r>
          <m:sSup>
            <m:sSupPr>
              <m:ctrlPr>
                <w:rPr>
                  <w:rFonts w:ascii="Cambria Math" w:hAnsi="Cambria Math" w:cs="Times New Roman"/>
                  <w:i/>
                </w:rPr>
              </m:ctrlPr>
            </m:sSupPr>
            <m:e>
              <m:r>
                <w:rPr>
                  <w:rFonts w:ascii="Cambria Math" w:hAnsi="Cambria Math" w:cs="Times New Roman"/>
                </w:rPr>
                <m:t>IDSE</m:t>
              </m:r>
            </m:e>
            <m:sup>
              <m:r>
                <w:rPr>
                  <w:rFonts w:ascii="Cambria Math" w:hAnsi="Cambria Math" w:cs="Times New Roman"/>
                </w:rPr>
                <m:t xml:space="preserve">- </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 xml:space="preserve"> IIA</m:t>
              </m:r>
            </m:e>
            <m:sup>
              <m:r>
                <w:rPr>
                  <w:rFonts w:ascii="Cambria Math" w:hAnsi="Cambria Math" w:cs="Times New Roman"/>
                </w:rPr>
                <m:t>+</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 xml:space="preserve"> IVA</m:t>
              </m:r>
            </m:e>
            <m:sup>
              <m:r>
                <w:rPr>
                  <w:rFonts w:ascii="Cambria Math" w:hAnsi="Cambria Math" w:cs="Times New Roman"/>
                </w:rPr>
                <m:t>+</m:t>
              </m:r>
            </m:sup>
          </m:sSup>
          <m:r>
            <w:rPr>
              <w:rFonts w:ascii="Cambria Math" w:hAnsi="Cambria Math" w:cs="Times New Roman"/>
            </w:rPr>
            <m:t>)</m:t>
          </m:r>
        </m:oMath>
      </m:oMathPara>
    </w:p>
    <w:p w14:paraId="1CD2040D" w14:textId="77777777" w:rsidR="004F4C7C" w:rsidRPr="0051476A" w:rsidRDefault="004F4C7C" w:rsidP="007A4368">
      <w:pPr>
        <w:spacing w:after="0"/>
        <w:ind w:firstLine="567"/>
        <w:rPr>
          <w:rFonts w:cs="Times New Roman"/>
        </w:rPr>
      </w:pPr>
    </w:p>
    <w:p w14:paraId="441700C9" w14:textId="77777777" w:rsidR="007936FB" w:rsidRPr="0051476A" w:rsidRDefault="00A21553" w:rsidP="007A4368">
      <w:pPr>
        <w:spacing w:after="0"/>
        <w:ind w:firstLine="708"/>
        <w:rPr>
          <w:rFonts w:cs="Times New Roman"/>
        </w:rPr>
      </w:pPr>
      <w:r w:rsidRPr="0051476A">
        <w:rPr>
          <w:rFonts w:cs="Times New Roman"/>
        </w:rPr>
        <w:t>Donde:</w:t>
      </w:r>
    </w:p>
    <w:p w14:paraId="42ECA0DC" w14:textId="201A968A" w:rsidR="007936FB" w:rsidRPr="0051476A" w:rsidRDefault="00A21553" w:rsidP="007A4368">
      <w:pPr>
        <w:spacing w:after="0"/>
        <w:ind w:firstLine="708"/>
        <w:rPr>
          <w:rFonts w:cs="Times New Roman"/>
          <w:iCs/>
        </w:rPr>
      </w:pPr>
      <w:r w:rsidRPr="0051476A">
        <w:rPr>
          <w:rFonts w:cs="Times New Roman"/>
          <w:i/>
        </w:rPr>
        <w:t xml:space="preserve">ISEV </w:t>
      </w:r>
      <w:r w:rsidRPr="0051476A">
        <w:rPr>
          <w:rFonts w:cs="Times New Roman"/>
          <w:iCs/>
        </w:rPr>
        <w:t>= “Índice de impulsores socioeconómicos de la vulnerabilidad a la inseguridad alimentaria”;</w:t>
      </w:r>
    </w:p>
    <w:p w14:paraId="0AE40133" w14:textId="23AC14FA" w:rsidR="007936FB" w:rsidRPr="0051476A" w:rsidRDefault="00A21553" w:rsidP="007A4368">
      <w:pPr>
        <w:spacing w:after="0"/>
        <w:ind w:firstLine="708"/>
        <w:rPr>
          <w:rFonts w:cs="Times New Roman"/>
          <w:i/>
        </w:rPr>
      </w:pPr>
      <w:r w:rsidRPr="0051476A">
        <w:rPr>
          <w:rFonts w:cs="Times New Roman"/>
          <w:i/>
        </w:rPr>
        <w:t xml:space="preserve">IDSE </w:t>
      </w:r>
      <w:r w:rsidRPr="0051476A">
        <w:rPr>
          <w:rFonts w:cs="Times New Roman"/>
          <w:iCs/>
        </w:rPr>
        <w:t>= índice de desarrollo socioeconómico;</w:t>
      </w:r>
    </w:p>
    <w:p w14:paraId="680EBCDE" w14:textId="6B471EEC" w:rsidR="007936FB" w:rsidRPr="0051476A" w:rsidRDefault="00A21553" w:rsidP="007A4368">
      <w:pPr>
        <w:spacing w:after="0"/>
        <w:ind w:firstLine="708"/>
        <w:rPr>
          <w:rFonts w:cs="Times New Roman"/>
          <w:i/>
        </w:rPr>
      </w:pPr>
      <w:r w:rsidRPr="0051476A">
        <w:rPr>
          <w:rFonts w:cs="Times New Roman"/>
          <w:i/>
        </w:rPr>
        <w:t xml:space="preserve">IIA </w:t>
      </w:r>
      <w:r w:rsidRPr="0051476A">
        <w:rPr>
          <w:rFonts w:cs="Times New Roman"/>
          <w:iCs/>
        </w:rPr>
        <w:t>= índice de inseguridad alimentaria;</w:t>
      </w:r>
    </w:p>
    <w:p w14:paraId="30A2D62E" w14:textId="3535BF71" w:rsidR="007936FB" w:rsidRPr="0051476A" w:rsidRDefault="00A21553" w:rsidP="007A4368">
      <w:pPr>
        <w:spacing w:after="0"/>
        <w:ind w:firstLine="708"/>
        <w:rPr>
          <w:rFonts w:cs="Times New Roman"/>
          <w:iCs/>
        </w:rPr>
      </w:pPr>
      <w:r w:rsidRPr="0051476A">
        <w:rPr>
          <w:rFonts w:cs="Times New Roman"/>
          <w:i/>
        </w:rPr>
        <w:t xml:space="preserve">IVA </w:t>
      </w:r>
      <w:r w:rsidRPr="0051476A">
        <w:rPr>
          <w:rFonts w:cs="Times New Roman"/>
          <w:iCs/>
        </w:rPr>
        <w:t>= índice de vulnerabilidad alimentaria.</w:t>
      </w:r>
    </w:p>
    <w:p w14:paraId="74BD9130" w14:textId="147F029B" w:rsidR="007936FB" w:rsidRPr="0051476A" w:rsidRDefault="00A21553" w:rsidP="007A4368">
      <w:pPr>
        <w:spacing w:after="0"/>
        <w:ind w:firstLine="708"/>
        <w:rPr>
          <w:rFonts w:cs="Times New Roman"/>
          <w:bCs/>
          <w:i/>
          <w:lang w:val="es-ES"/>
        </w:rPr>
      </w:pPr>
      <w:r w:rsidRPr="0051476A">
        <w:rPr>
          <w:rFonts w:cs="Times New Roman"/>
          <w:bCs/>
          <w:lang w:val="es-ES"/>
        </w:rPr>
        <w:t>Se realizó una prueba de Bartlett para determinar si hay relación entre las variables que integran cada uno de los índices temáticos, así como el test de Kaiser-Meyer-</w:t>
      </w:r>
      <w:proofErr w:type="spellStart"/>
      <w:r w:rsidRPr="0051476A">
        <w:rPr>
          <w:rFonts w:cs="Times New Roman"/>
          <w:bCs/>
          <w:lang w:val="es-ES"/>
        </w:rPr>
        <w:t>Olkin</w:t>
      </w:r>
      <w:proofErr w:type="spellEnd"/>
      <w:r w:rsidRPr="0051476A">
        <w:rPr>
          <w:rFonts w:cs="Times New Roman"/>
          <w:bCs/>
          <w:lang w:val="es-ES"/>
        </w:rPr>
        <w:t xml:space="preserve"> (KMO) para conocer su grado de relación. Y se obtuvieron valores aceptables superiores a 0.50 con </w:t>
      </w:r>
      <w:r w:rsidRPr="0051476A">
        <w:rPr>
          <w:rFonts w:cs="Times New Roman"/>
          <w:bCs/>
          <w:i/>
          <w:lang w:val="es-ES"/>
        </w:rPr>
        <w:t xml:space="preserve">p </w:t>
      </w:r>
      <w:r w:rsidRPr="0051476A">
        <w:rPr>
          <w:rFonts w:cs="Times New Roman"/>
          <w:bCs/>
          <w:lang w:val="es-ES"/>
        </w:rPr>
        <w:t>&lt; 0.0001.</w:t>
      </w:r>
    </w:p>
    <w:p w14:paraId="71FF71E8" w14:textId="515A5D39" w:rsidR="007936FB" w:rsidRPr="0051476A" w:rsidRDefault="00A21553" w:rsidP="007A4368">
      <w:pPr>
        <w:spacing w:after="0"/>
        <w:ind w:firstLine="567"/>
        <w:rPr>
          <w:rFonts w:cs="Times New Roman"/>
          <w:lang w:val="es-ES"/>
        </w:rPr>
      </w:pPr>
      <w:r w:rsidRPr="0051476A">
        <w:rPr>
          <w:rFonts w:cs="Times New Roman"/>
          <w:lang w:val="es-ES"/>
        </w:rPr>
        <w:t>Finalmente, se clasificaron los municipios en cinco niveles de acuerdo con el valor de cada índice: muy bajo (menor a -0.75), bajo (de ≥ -0.75 a -0.25), medio (de &gt; -0.25 a 0.25), alto (de &gt; 0.25 a 0.75) y muy alto (mayor a 0.75).</w:t>
      </w:r>
    </w:p>
    <w:p w14:paraId="6FC1D142" w14:textId="67DCF768" w:rsidR="007936FB" w:rsidRPr="0051476A" w:rsidRDefault="00A21553" w:rsidP="007A4368">
      <w:pPr>
        <w:spacing w:after="0"/>
        <w:ind w:firstLine="567"/>
        <w:rPr>
          <w:rFonts w:cs="Times New Roman"/>
          <w:bCs/>
        </w:rPr>
      </w:pPr>
      <w:r w:rsidRPr="0051476A">
        <w:rPr>
          <w:rFonts w:cs="Times New Roman"/>
          <w:lang w:val="es-ES"/>
        </w:rPr>
        <w:t xml:space="preserve">A continuación, se describen los materiales y el método para cada uno de los índices temáticos que integran el </w:t>
      </w:r>
      <w:r w:rsidRPr="0051476A">
        <w:rPr>
          <w:rFonts w:cs="Times New Roman"/>
          <w:iCs/>
        </w:rPr>
        <w:t>ISEV</w:t>
      </w:r>
      <w:r w:rsidRPr="0051476A">
        <w:rPr>
          <w:rFonts w:cs="Times New Roman"/>
          <w:bCs/>
        </w:rPr>
        <w:t>.</w:t>
      </w:r>
    </w:p>
    <w:p w14:paraId="72A9753C" w14:textId="77777777" w:rsidR="007936FB" w:rsidRPr="0051476A" w:rsidRDefault="007936FB" w:rsidP="007A4368">
      <w:pPr>
        <w:spacing w:after="0"/>
        <w:rPr>
          <w:rFonts w:eastAsia="Calibri" w:cs="Times New Roman"/>
          <w:b/>
          <w:i/>
        </w:rPr>
      </w:pPr>
    </w:p>
    <w:p w14:paraId="7985B41A" w14:textId="230C4299" w:rsidR="007936FB" w:rsidRPr="0051476A" w:rsidRDefault="00A21553" w:rsidP="007A4368">
      <w:pPr>
        <w:spacing w:after="0"/>
        <w:jc w:val="center"/>
        <w:rPr>
          <w:rFonts w:eastAsia="Calibri" w:cs="Times New Roman"/>
          <w:b/>
          <w:iCs/>
          <w:sz w:val="28"/>
          <w:szCs w:val="28"/>
        </w:rPr>
      </w:pPr>
      <w:r w:rsidRPr="0051476A">
        <w:rPr>
          <w:rFonts w:eastAsia="Calibri" w:cs="Times New Roman"/>
          <w:b/>
          <w:iCs/>
          <w:sz w:val="28"/>
          <w:szCs w:val="28"/>
        </w:rPr>
        <w:t>Índice de desarrollo socioeconómico (IDSE)</w:t>
      </w:r>
    </w:p>
    <w:p w14:paraId="195B55A4" w14:textId="2D2F935A" w:rsidR="007936FB" w:rsidRPr="0051476A" w:rsidRDefault="00A21553" w:rsidP="007A4368">
      <w:pPr>
        <w:spacing w:after="0"/>
        <w:ind w:firstLine="708"/>
        <w:rPr>
          <w:rFonts w:eastAsia="Calibri" w:cs="Times New Roman"/>
        </w:rPr>
      </w:pPr>
      <w:r w:rsidRPr="0051476A">
        <w:rPr>
          <w:rFonts w:eastAsia="Calibri" w:cs="Times New Roman"/>
        </w:rPr>
        <w:t xml:space="preserve">Este índice se formó con los siguientes indicadores: índice de marginación, grado de urbanización, tasa bruta de actividad económica, coeficiente de dependencia económica y densidad de carreteras pavimentadas. Para construir estos indicadores se usaron nueve variables que fueron tomadas del Instituto Nacional de Estadística y Geografía (Inegi) y del </w:t>
      </w:r>
      <w:r w:rsidRPr="0051476A">
        <w:rPr>
          <w:rFonts w:eastAsia="Calibri" w:cs="Times New Roman"/>
          <w:bCs/>
        </w:rPr>
        <w:t>Consejo Nacional de Población (</w:t>
      </w:r>
      <w:r w:rsidRPr="0051476A">
        <w:rPr>
          <w:rFonts w:eastAsia="Calibri" w:cs="Times New Roman"/>
        </w:rPr>
        <w:t>Conapo</w:t>
      </w:r>
      <w:r w:rsidRPr="0051476A">
        <w:rPr>
          <w:rFonts w:eastAsia="Calibri" w:cs="Times New Roman"/>
          <w:bCs/>
        </w:rPr>
        <w:t>)</w:t>
      </w:r>
      <w:r w:rsidRPr="0051476A">
        <w:rPr>
          <w:rFonts w:eastAsia="Calibri" w:cs="Times New Roman"/>
        </w:rPr>
        <w:t>; todas ellas del año 2010. La relación funcional fue la siguiente:</w:t>
      </w:r>
      <w:r w:rsidRPr="0051476A">
        <w:rPr>
          <w:rFonts w:eastAsia="Calibri" w:cs="Times New Roman"/>
          <w:i/>
        </w:rPr>
        <w:tab/>
      </w:r>
    </w:p>
    <w:p w14:paraId="5FF1225C" w14:textId="66609F34" w:rsidR="007936FB" w:rsidRPr="0051476A" w:rsidRDefault="00A21553" w:rsidP="007A4368">
      <w:pPr>
        <w:spacing w:after="0"/>
        <w:ind w:firstLine="567"/>
        <w:jc w:val="center"/>
        <w:rPr>
          <w:rFonts w:eastAsia="MS Mincho" w:cs="Times New Roman"/>
        </w:rPr>
      </w:pPr>
      <m:oMathPara>
        <m:oMath>
          <m:r>
            <w:rPr>
              <w:rFonts w:ascii="Cambria Math" w:eastAsia="Calibri" w:hAnsi="Cambria Math" w:cs="Times New Roman"/>
            </w:rPr>
            <m:t>IDSE=f(</m:t>
          </m:r>
          <m:sSup>
            <m:sSupPr>
              <m:ctrlPr>
                <w:rPr>
                  <w:rFonts w:ascii="Cambria Math" w:eastAsia="Calibri" w:hAnsi="Cambria Math" w:cs="Times New Roman"/>
                  <w:i/>
                </w:rPr>
              </m:ctrlPr>
            </m:sSupPr>
            <m:e>
              <m:r>
                <w:rPr>
                  <w:rFonts w:ascii="Cambria Math" w:eastAsia="Calibri" w:hAnsi="Cambria Math" w:cs="Times New Roman"/>
                </w:rPr>
                <m:t>M</m:t>
              </m:r>
            </m:e>
            <m:sup>
              <m:r>
                <w:rPr>
                  <w:rFonts w:ascii="Cambria Math" w:eastAsia="Calibri" w:hAnsi="Cambria Math" w:cs="Times New Roman"/>
                </w:rPr>
                <m:t>-</m:t>
              </m:r>
            </m:sup>
          </m:sSup>
          <m:r>
            <w:rPr>
              <w:rFonts w:ascii="Cambria Math" w:eastAsia="Calibri" w:hAnsi="Cambria Math" w:cs="Times New Roman"/>
            </w:rPr>
            <m:t xml:space="preserve">, </m:t>
          </m:r>
          <m:sSup>
            <m:sSupPr>
              <m:ctrlPr>
                <w:rPr>
                  <w:rFonts w:ascii="Cambria Math" w:eastAsia="Calibri" w:hAnsi="Cambria Math" w:cs="Times New Roman"/>
                  <w:i/>
                </w:rPr>
              </m:ctrlPr>
            </m:sSupPr>
            <m:e>
              <m:r>
                <w:rPr>
                  <w:rFonts w:ascii="Cambria Math" w:eastAsia="Calibri" w:hAnsi="Cambria Math" w:cs="Times New Roman"/>
                </w:rPr>
                <m:t>GU</m:t>
              </m:r>
            </m:e>
            <m:sup>
              <m:r>
                <w:rPr>
                  <w:rFonts w:ascii="Cambria Math" w:eastAsia="Calibri" w:hAnsi="Cambria Math" w:cs="Times New Roman"/>
                </w:rPr>
                <m:t>+</m:t>
              </m:r>
            </m:sup>
          </m:sSup>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TBAE</m:t>
              </m:r>
            </m:e>
            <m:sup>
              <m:r>
                <w:rPr>
                  <w:rFonts w:ascii="Cambria Math" w:eastAsia="Calibri" w:hAnsi="Cambria Math" w:cs="Times New Roman"/>
                </w:rPr>
                <m:t>+</m:t>
              </m:r>
            </m:sup>
          </m:sSup>
          <m:r>
            <w:rPr>
              <w:rFonts w:ascii="Cambria Math" w:eastAsia="Calibri" w:hAnsi="Cambria Math" w:cs="Times New Roman"/>
            </w:rPr>
            <m:t xml:space="preserve">, </m:t>
          </m:r>
          <m:sSup>
            <m:sSupPr>
              <m:ctrlPr>
                <w:rPr>
                  <w:rFonts w:ascii="Cambria Math" w:eastAsia="Calibri" w:hAnsi="Cambria Math" w:cs="Times New Roman"/>
                  <w:i/>
                </w:rPr>
              </m:ctrlPr>
            </m:sSupPr>
            <m:e>
              <m:r>
                <w:rPr>
                  <w:rFonts w:ascii="Cambria Math" w:eastAsia="Calibri" w:hAnsi="Cambria Math" w:cs="Times New Roman"/>
                </w:rPr>
                <m:t>CDE</m:t>
              </m:r>
            </m:e>
            <m:sup>
              <m:r>
                <w:rPr>
                  <w:rFonts w:ascii="Cambria Math" w:eastAsia="Calibri" w:hAnsi="Cambria Math" w:cs="Times New Roman"/>
                </w:rPr>
                <m:t>-</m:t>
              </m:r>
            </m:sup>
          </m:sSup>
          <m:r>
            <w:rPr>
              <w:rFonts w:ascii="Cambria Math" w:eastAsia="Calibri" w:hAnsi="Cambria Math" w:cs="Times New Roman"/>
            </w:rPr>
            <m:t xml:space="preserve">, </m:t>
          </m:r>
          <m:sSup>
            <m:sSupPr>
              <m:ctrlPr>
                <w:rPr>
                  <w:rFonts w:ascii="Cambria Math" w:eastAsia="Calibri" w:hAnsi="Cambria Math" w:cs="Times New Roman"/>
                  <w:i/>
                </w:rPr>
              </m:ctrlPr>
            </m:sSupPr>
            <m:e>
              <m:r>
                <w:rPr>
                  <w:rFonts w:ascii="Cambria Math" w:eastAsia="Calibri" w:hAnsi="Cambria Math" w:cs="Times New Roman"/>
                </w:rPr>
                <m:t>DC</m:t>
              </m:r>
            </m:e>
            <m:sup>
              <m:r>
                <w:rPr>
                  <w:rFonts w:ascii="Cambria Math" w:eastAsia="Calibri" w:hAnsi="Cambria Math" w:cs="Times New Roman"/>
                </w:rPr>
                <m:t>+</m:t>
              </m:r>
            </m:sup>
          </m:sSup>
          <m:r>
            <w:rPr>
              <w:rFonts w:ascii="Cambria Math" w:eastAsia="Calibri" w:hAnsi="Cambria Math" w:cs="Times New Roman"/>
            </w:rPr>
            <m:t>)</m:t>
          </m:r>
        </m:oMath>
      </m:oMathPara>
    </w:p>
    <w:p w14:paraId="4E102476" w14:textId="1F9ACD82" w:rsidR="007936FB" w:rsidRPr="0051476A" w:rsidRDefault="00A21553" w:rsidP="007A4368">
      <w:pPr>
        <w:spacing w:after="0"/>
        <w:ind w:firstLine="567"/>
        <w:rPr>
          <w:rFonts w:eastAsia="Calibri" w:cs="Times New Roman"/>
          <w:i/>
        </w:rPr>
      </w:pPr>
      <w:r w:rsidRPr="0051476A">
        <w:rPr>
          <w:rFonts w:eastAsia="Calibri" w:cs="Times New Roman"/>
        </w:rPr>
        <w:t xml:space="preserve">Donde: </w:t>
      </w:r>
    </w:p>
    <w:p w14:paraId="5C53B415" w14:textId="1F2CAC4C" w:rsidR="007936FB" w:rsidRPr="0051476A" w:rsidRDefault="00A21553" w:rsidP="007A4368">
      <w:pPr>
        <w:spacing w:after="0"/>
        <w:ind w:firstLine="567"/>
        <w:rPr>
          <w:rFonts w:eastAsia="Calibri" w:cs="Times New Roman"/>
          <w:i/>
        </w:rPr>
      </w:pPr>
      <w:r w:rsidRPr="0051476A">
        <w:rPr>
          <w:rFonts w:eastAsia="Calibri" w:cs="Times New Roman"/>
          <w:i/>
        </w:rPr>
        <w:t xml:space="preserve">IDSE </w:t>
      </w:r>
      <w:r w:rsidRPr="0051476A">
        <w:rPr>
          <w:rFonts w:eastAsia="Calibri" w:cs="Times New Roman"/>
          <w:iCs/>
        </w:rPr>
        <w:t>=</w:t>
      </w:r>
      <w:r w:rsidRPr="0051476A">
        <w:rPr>
          <w:rFonts w:eastAsia="Calibri" w:cs="Times New Roman"/>
          <w:i/>
        </w:rPr>
        <w:t xml:space="preserve"> </w:t>
      </w:r>
      <w:r w:rsidRPr="0051476A">
        <w:rPr>
          <w:rFonts w:eastAsia="Calibri" w:cs="Times New Roman"/>
          <w:iCs/>
        </w:rPr>
        <w:t>índice de desarrollo socioeconómico;</w:t>
      </w:r>
    </w:p>
    <w:p w14:paraId="12307514" w14:textId="60719F9E" w:rsidR="007936FB" w:rsidRPr="0051476A" w:rsidRDefault="00A21553" w:rsidP="007A4368">
      <w:pPr>
        <w:spacing w:after="0"/>
        <w:ind w:firstLine="567"/>
        <w:rPr>
          <w:rFonts w:eastAsia="Calibri" w:cs="Times New Roman"/>
          <w:i/>
        </w:rPr>
      </w:pPr>
      <w:r w:rsidRPr="0051476A">
        <w:rPr>
          <w:rFonts w:eastAsia="Calibri" w:cs="Times New Roman"/>
          <w:i/>
        </w:rPr>
        <w:t xml:space="preserve">M </w:t>
      </w:r>
      <w:r w:rsidRPr="0051476A">
        <w:rPr>
          <w:rFonts w:eastAsia="Calibri" w:cs="Times New Roman"/>
          <w:iCs/>
        </w:rPr>
        <w:t>= índice de marginación;</w:t>
      </w:r>
    </w:p>
    <w:p w14:paraId="680845DF" w14:textId="1994118A" w:rsidR="007936FB" w:rsidRPr="0051476A" w:rsidRDefault="00A21553" w:rsidP="007A4368">
      <w:pPr>
        <w:spacing w:after="0"/>
        <w:ind w:firstLine="567"/>
        <w:rPr>
          <w:rFonts w:eastAsia="Calibri" w:cs="Times New Roman"/>
          <w:i/>
        </w:rPr>
      </w:pPr>
      <w:r w:rsidRPr="0051476A">
        <w:rPr>
          <w:rFonts w:eastAsia="Calibri" w:cs="Times New Roman"/>
          <w:i/>
        </w:rPr>
        <w:t xml:space="preserve">GU </w:t>
      </w:r>
      <w:r w:rsidRPr="0051476A">
        <w:rPr>
          <w:rFonts w:eastAsia="Calibri" w:cs="Times New Roman"/>
          <w:iCs/>
        </w:rPr>
        <w:t>= grado de urbanización;</w:t>
      </w:r>
    </w:p>
    <w:p w14:paraId="206D7267" w14:textId="22FB3103" w:rsidR="007936FB" w:rsidRPr="0051476A" w:rsidRDefault="00A21553" w:rsidP="007A4368">
      <w:pPr>
        <w:spacing w:after="0"/>
        <w:ind w:firstLine="567"/>
        <w:rPr>
          <w:rFonts w:eastAsia="Calibri" w:cs="Times New Roman"/>
          <w:i/>
        </w:rPr>
      </w:pPr>
      <w:r w:rsidRPr="0051476A">
        <w:rPr>
          <w:rFonts w:eastAsia="Calibri" w:cs="Times New Roman"/>
          <w:i/>
        </w:rPr>
        <w:t xml:space="preserve">TBAE </w:t>
      </w:r>
      <w:r w:rsidRPr="0051476A">
        <w:rPr>
          <w:rFonts w:eastAsia="Calibri" w:cs="Times New Roman"/>
          <w:iCs/>
        </w:rPr>
        <w:t>= tasa bruta de actividad económica;</w:t>
      </w:r>
    </w:p>
    <w:p w14:paraId="21CA8C99" w14:textId="5088964F" w:rsidR="007936FB" w:rsidRPr="0051476A" w:rsidRDefault="00A21553" w:rsidP="007A4368">
      <w:pPr>
        <w:spacing w:after="0"/>
        <w:ind w:firstLine="567"/>
        <w:rPr>
          <w:rFonts w:eastAsia="Calibri" w:cs="Times New Roman"/>
          <w:i/>
        </w:rPr>
      </w:pPr>
      <w:r w:rsidRPr="0051476A">
        <w:rPr>
          <w:rFonts w:eastAsia="Calibri" w:cs="Times New Roman"/>
          <w:i/>
        </w:rPr>
        <w:lastRenderedPageBreak/>
        <w:t xml:space="preserve">CDE </w:t>
      </w:r>
      <w:r w:rsidRPr="0051476A">
        <w:rPr>
          <w:rFonts w:eastAsia="Calibri" w:cs="Times New Roman"/>
          <w:iCs/>
        </w:rPr>
        <w:t>= coeficiente de dependencia económica;</w:t>
      </w:r>
    </w:p>
    <w:p w14:paraId="72807F61" w14:textId="0FDA9B68" w:rsidR="007936FB" w:rsidRPr="0051476A" w:rsidRDefault="00A21553" w:rsidP="007A4368">
      <w:pPr>
        <w:spacing w:after="0"/>
        <w:ind w:firstLine="567"/>
        <w:rPr>
          <w:rFonts w:eastAsia="Calibri" w:cs="Times New Roman"/>
          <w:i/>
        </w:rPr>
      </w:pPr>
      <w:r w:rsidRPr="0051476A">
        <w:rPr>
          <w:rFonts w:eastAsia="Calibri" w:cs="Times New Roman"/>
          <w:i/>
        </w:rPr>
        <w:t xml:space="preserve">DC </w:t>
      </w:r>
      <w:r w:rsidRPr="0051476A">
        <w:rPr>
          <w:rFonts w:eastAsia="Calibri" w:cs="Times New Roman"/>
          <w:iCs/>
        </w:rPr>
        <w:t>= densidad de carreteras pavimentadas.</w:t>
      </w:r>
    </w:p>
    <w:p w14:paraId="2200FB0D" w14:textId="4DEEA3C1" w:rsidR="007936FB" w:rsidRPr="0051476A" w:rsidRDefault="00A21553" w:rsidP="007A4368">
      <w:pPr>
        <w:spacing w:after="0"/>
        <w:ind w:firstLine="567"/>
        <w:rPr>
          <w:rFonts w:eastAsia="Calibri" w:cs="Times New Roman"/>
        </w:rPr>
      </w:pPr>
      <w:r w:rsidRPr="0051476A">
        <w:rPr>
          <w:rFonts w:eastAsia="Calibri" w:cs="Times New Roman"/>
        </w:rPr>
        <w:t xml:space="preserve">A continuación, se calculó el índice de cada municipio promediando los cinco indicadores. El valor del índice de marginación y del coeficiente de dependencia económica se multiplicaron por -1 antes de promediarlos, porque tienen un significado inverso al desarrollo. Finalmente, de acuerdo con el valor del índice, se clasificaron los municipios en cinco niveles de desarrollo socioeconómico: muy bajo (menor a -0.50), bajo (de -0.50 a 0.00), medio (de 0.01 a 0.50), alto (de 0.51 a 1.00) y muy alto (mayor a 1.00). </w:t>
      </w:r>
    </w:p>
    <w:p w14:paraId="2D92DC2D" w14:textId="77777777" w:rsidR="007936FB" w:rsidRPr="0051476A" w:rsidRDefault="007936FB" w:rsidP="007A4368">
      <w:pPr>
        <w:spacing w:after="0"/>
        <w:rPr>
          <w:rFonts w:eastAsia="Calibri" w:cs="Times New Roman"/>
          <w:b/>
          <w:i/>
        </w:rPr>
      </w:pPr>
    </w:p>
    <w:p w14:paraId="1AABEF47" w14:textId="570D04AB" w:rsidR="007936FB" w:rsidRPr="0051476A" w:rsidRDefault="00A21553" w:rsidP="007A4368">
      <w:pPr>
        <w:spacing w:after="0"/>
        <w:jc w:val="center"/>
        <w:rPr>
          <w:rFonts w:eastAsia="Calibri" w:cs="Times New Roman"/>
          <w:b/>
          <w:iCs/>
          <w:sz w:val="28"/>
          <w:szCs w:val="28"/>
        </w:rPr>
      </w:pPr>
      <w:r w:rsidRPr="0051476A">
        <w:rPr>
          <w:rFonts w:eastAsia="Calibri" w:cs="Times New Roman"/>
          <w:b/>
          <w:iCs/>
          <w:sz w:val="28"/>
          <w:szCs w:val="28"/>
        </w:rPr>
        <w:t>Índice de inseguridad alimentaria (IIA)</w:t>
      </w:r>
    </w:p>
    <w:p w14:paraId="1AEA8ADF" w14:textId="7370DAF5" w:rsidR="007936FB" w:rsidRPr="0051476A" w:rsidRDefault="00A21553" w:rsidP="007A4368">
      <w:pPr>
        <w:spacing w:after="0"/>
        <w:ind w:firstLine="567"/>
        <w:rPr>
          <w:rFonts w:cs="Times New Roman"/>
          <w:lang w:val="es-ES"/>
        </w:rPr>
      </w:pPr>
      <w:r w:rsidRPr="0051476A">
        <w:rPr>
          <w:rFonts w:eastAsia="Calibri" w:cs="Times New Roman"/>
        </w:rPr>
        <w:t xml:space="preserve">El IIA se construyó a partir de los resultados de las encuestas a hogares que se aplicaron a amas de casa; el instrumento aplicado fue la Escala Latinoamericana y Caribeña de Seguridad Alimentaria (ELCSA). A partir de los resultados de la encuesta, primero se estimó un índice de inseguridad alimentaria en cada municipio, que representa la proporción de hogares con inseguridad alimentaria. Después, estos índices se transformaron en valores normalizados de una distribución caracterizada por los argumentos media y desviación estándar. La fórmula empleada para estandarizar fue: </w:t>
      </w:r>
      <m:oMath>
        <m:r>
          <w:rPr>
            <w:rFonts w:ascii="Cambria Math" w:eastAsia="Calibri" w:hAnsi="Cambria Math" w:cs="Times New Roman"/>
          </w:rPr>
          <m:t>Z=</m:t>
        </m:r>
        <m:f>
          <m:fPr>
            <m:ctrlPr>
              <w:rPr>
                <w:rFonts w:ascii="Cambria Math" w:eastAsia="Calibri" w:hAnsi="Cambria Math" w:cs="Times New Roman"/>
                <w:i/>
              </w:rPr>
            </m:ctrlPr>
          </m:fPr>
          <m:num>
            <m:r>
              <w:rPr>
                <w:rFonts w:ascii="Cambria Math" w:eastAsia="Calibri" w:hAnsi="Cambria Math" w:cs="Times New Roman"/>
              </w:rPr>
              <m:t>X-μ</m:t>
            </m:r>
          </m:num>
          <m:den>
            <m:r>
              <w:rPr>
                <w:rFonts w:ascii="Cambria Math" w:eastAsia="Calibri" w:hAnsi="Cambria Math" w:cs="Times New Roman"/>
              </w:rPr>
              <m:t>σ</m:t>
            </m:r>
          </m:den>
        </m:f>
      </m:oMath>
      <w:r w:rsidRPr="0051476A">
        <w:rPr>
          <w:rFonts w:eastAsia="MS Mincho" w:cs="Times New Roman"/>
        </w:rPr>
        <w:t xml:space="preserve"> ; donde </w:t>
      </w:r>
      <w:r w:rsidRPr="0051476A">
        <w:rPr>
          <w:rFonts w:eastAsia="MS Mincho" w:cs="Times New Roman"/>
          <w:i/>
        </w:rPr>
        <w:t>X</w:t>
      </w:r>
      <w:r w:rsidRPr="0051476A">
        <w:rPr>
          <w:rFonts w:eastAsia="MS Mincho" w:cs="Times New Roman"/>
        </w:rPr>
        <w:t xml:space="preserve"> es el valor que se desea normalizar, </w:t>
      </w:r>
      <w:r w:rsidRPr="0051476A">
        <w:rPr>
          <w:rFonts w:eastAsia="MS Mincho" w:cs="Times New Roman"/>
          <w:i/>
        </w:rPr>
        <w:t>μ</w:t>
      </w:r>
      <w:r w:rsidRPr="0051476A">
        <w:rPr>
          <w:rFonts w:eastAsia="MS Mincho" w:cs="Times New Roman"/>
        </w:rPr>
        <w:t xml:space="preserve"> la media aritmética y </w:t>
      </w:r>
      <w:r w:rsidRPr="0051476A">
        <w:rPr>
          <w:rFonts w:eastAsia="MS Mincho" w:cs="Times New Roman"/>
          <w:i/>
        </w:rPr>
        <w:t>σ</w:t>
      </w:r>
      <w:r w:rsidRPr="0051476A">
        <w:rPr>
          <w:rFonts w:eastAsia="MS Mincho" w:cs="Times New Roman"/>
        </w:rPr>
        <w:t xml:space="preserve"> la desviación estándar. </w:t>
      </w:r>
      <w:r w:rsidRPr="0051476A">
        <w:rPr>
          <w:rFonts w:cs="Times New Roman"/>
          <w:lang w:val="es-ES"/>
        </w:rPr>
        <w:t>Finalmente, se clasificaron los municipios en cinco niveles, de acuerdo con el valor de cada índice: muy bajo (menor a -0.75), bajo (de ≥ -0.75 a -0.25), medio (de &gt; -0.25 a 0.25), alto (de &gt; 0.25 a 0.75) y muy alto (mayor a 0.75).</w:t>
      </w:r>
    </w:p>
    <w:p w14:paraId="7E00D1D2" w14:textId="77777777" w:rsidR="004F4C7C" w:rsidRPr="0051476A" w:rsidRDefault="004F4C7C" w:rsidP="007A4368">
      <w:pPr>
        <w:spacing w:after="0"/>
        <w:rPr>
          <w:rFonts w:eastAsia="MS Mincho" w:cs="Times New Roman"/>
          <w:b/>
          <w:i/>
        </w:rPr>
      </w:pPr>
    </w:p>
    <w:p w14:paraId="32DE4429" w14:textId="291835D0" w:rsidR="007936FB" w:rsidRPr="0051476A" w:rsidRDefault="00A21553" w:rsidP="007A4368">
      <w:pPr>
        <w:spacing w:after="0"/>
        <w:jc w:val="center"/>
        <w:rPr>
          <w:rFonts w:eastAsia="MS Mincho" w:cs="Times New Roman"/>
          <w:b/>
          <w:iCs/>
          <w:sz w:val="28"/>
          <w:szCs w:val="28"/>
        </w:rPr>
      </w:pPr>
      <w:r w:rsidRPr="0051476A">
        <w:rPr>
          <w:rFonts w:eastAsia="MS Mincho" w:cs="Times New Roman"/>
          <w:b/>
          <w:iCs/>
          <w:sz w:val="28"/>
          <w:szCs w:val="28"/>
        </w:rPr>
        <w:t>Índice de vulnerabilidad alimentaria (IVA)</w:t>
      </w:r>
    </w:p>
    <w:p w14:paraId="13E9A6BF" w14:textId="7B7EAEA4" w:rsidR="007936FB" w:rsidRPr="0051476A" w:rsidRDefault="00A21553" w:rsidP="007A4368">
      <w:pPr>
        <w:spacing w:after="0"/>
        <w:ind w:firstLine="708"/>
        <w:rPr>
          <w:rFonts w:cs="Times New Roman"/>
        </w:rPr>
      </w:pPr>
      <w:r w:rsidRPr="0051476A">
        <w:rPr>
          <w:rFonts w:cs="Times New Roman"/>
        </w:rPr>
        <w:t xml:space="preserve">El IVA se formó con los índices puestos a continuación: exposición, sensibilidad y capacidad adaptativa. El índice de capacidad adaptativa se construyó a partir de indicadores de capital humano, financiero, físico, social y natural. </w:t>
      </w:r>
    </w:p>
    <w:p w14:paraId="05AEBCAA" w14:textId="3A9B6451" w:rsidR="007936FB" w:rsidRPr="0051476A" w:rsidRDefault="00A21553" w:rsidP="007A4368">
      <w:pPr>
        <w:spacing w:after="0"/>
        <w:ind w:firstLine="708"/>
        <w:rPr>
          <w:rFonts w:eastAsia="Calibri" w:cs="Times New Roman"/>
        </w:rPr>
      </w:pPr>
      <w:r w:rsidRPr="0051476A">
        <w:rPr>
          <w:rFonts w:eastAsia="Calibri" w:cs="Times New Roman"/>
        </w:rPr>
        <w:t xml:space="preserve">La exposición </w:t>
      </w:r>
      <w:r w:rsidRPr="0051476A">
        <w:rPr>
          <w:rFonts w:cs="Times New Roman"/>
        </w:rPr>
        <w:t xml:space="preserve">la constituye la población más expuesta a sufrir inseguridad alimentaria. </w:t>
      </w:r>
      <w:r w:rsidRPr="0051476A">
        <w:rPr>
          <w:rFonts w:eastAsia="Calibri" w:cs="Times New Roman"/>
        </w:rPr>
        <w:t xml:space="preserve">Para el índice de exposición se usaron cuatro indicadores construidos a partir variables tomadas del Inegi y del Conapo, todas ellas, una vez más, del año 2010. El índice de sensibilidad, que </w:t>
      </w:r>
      <w:r w:rsidRPr="0051476A">
        <w:rPr>
          <w:rFonts w:cs="Times New Roman"/>
        </w:rPr>
        <w:t>caracteriza la condición que hace que las personas sean susceptibles a sufrir inseguridad alimentaria,</w:t>
      </w:r>
      <w:r w:rsidRPr="0051476A">
        <w:rPr>
          <w:rFonts w:eastAsia="Calibri" w:cs="Times New Roman"/>
        </w:rPr>
        <w:t xml:space="preserve"> se construyó con cinco indicadores que se formaron a partir de </w:t>
      </w:r>
      <w:r w:rsidRPr="0051476A">
        <w:rPr>
          <w:rFonts w:eastAsia="Calibri" w:cs="Times New Roman"/>
        </w:rPr>
        <w:lastRenderedPageBreak/>
        <w:t xml:space="preserve">información de la Secretaría de Salud de Nayarit (SSN) del año 2011 y del Coneval en el año 2010. Para el índice de capacidad adaptativa, el cual </w:t>
      </w:r>
      <w:r w:rsidRPr="0051476A">
        <w:rPr>
          <w:rFonts w:cs="Times New Roman"/>
        </w:rPr>
        <w:t>representan el potencial, habilidades y recursos para hacer frente a la inseguridad alimentaria,</w:t>
      </w:r>
      <w:r w:rsidRPr="0051476A">
        <w:rPr>
          <w:rFonts w:eastAsia="Calibri" w:cs="Times New Roman"/>
        </w:rPr>
        <w:t xml:space="preserve"> se utilizó información de la Secretaría de Desarrollo Social (Sedesol) del año 2013 y del Inegi de los años 2010, 2012 y 2013.</w:t>
      </w:r>
    </w:p>
    <w:p w14:paraId="1B887FFB" w14:textId="7ED9AE8A" w:rsidR="007936FB" w:rsidRPr="0051476A" w:rsidRDefault="00A21553" w:rsidP="007A4368">
      <w:pPr>
        <w:spacing w:after="0"/>
        <w:ind w:firstLine="708"/>
        <w:rPr>
          <w:rFonts w:cs="Times New Roman"/>
          <w:lang w:val="es-ES"/>
        </w:rPr>
      </w:pPr>
      <w:r w:rsidRPr="0051476A">
        <w:rPr>
          <w:rFonts w:cs="Times New Roman"/>
        </w:rPr>
        <w:t xml:space="preserve">Antes de integrar los índices exposición, sensibilidad y capacidad adaptativa, todos los indicadores empleados se </w:t>
      </w:r>
      <w:r w:rsidRPr="0051476A">
        <w:rPr>
          <w:rFonts w:cs="Times New Roman"/>
          <w:lang w:val="es-ES"/>
        </w:rPr>
        <w:t xml:space="preserve">transformaron en valores estandarizados de una distribución caracterizada por los argumentos media y desviación estándar. La fórmula empleada fue: </w:t>
      </w:r>
      <m:oMath>
        <m:r>
          <w:rPr>
            <w:rFonts w:ascii="Cambria Math" w:hAnsi="Cambria Math" w:cs="Times New Roman"/>
            <w:lang w:val="es-ES"/>
          </w:rPr>
          <m:t>Z</m:t>
        </m:r>
        <m:r>
          <m:rPr>
            <m:sty m:val="p"/>
          </m:rPr>
          <w:rPr>
            <w:rFonts w:ascii="Cambria Math" w:hAnsi="Cambria Math" w:cs="Times New Roman"/>
            <w:lang w:val="es-ES"/>
          </w:rPr>
          <m:t>=</m:t>
        </m:r>
        <m:f>
          <m:fPr>
            <m:ctrlPr>
              <w:rPr>
                <w:rFonts w:ascii="Cambria Math" w:hAnsi="Cambria Math" w:cs="Times New Roman"/>
                <w:i/>
                <w:lang w:val="es-ES"/>
              </w:rPr>
            </m:ctrlPr>
          </m:fPr>
          <m:num>
            <m:r>
              <w:rPr>
                <w:rFonts w:ascii="Cambria Math" w:hAnsi="Cambria Math" w:cs="Times New Roman"/>
                <w:lang w:val="es-ES"/>
              </w:rPr>
              <m:t>X-μ</m:t>
            </m:r>
          </m:num>
          <m:den>
            <m:r>
              <w:rPr>
                <w:rFonts w:ascii="Cambria Math" w:hAnsi="Cambria Math" w:cs="Times New Roman"/>
                <w:lang w:val="es-ES"/>
              </w:rPr>
              <m:t>σ</m:t>
            </m:r>
          </m:den>
        </m:f>
      </m:oMath>
      <w:r w:rsidRPr="0051476A">
        <w:rPr>
          <w:rFonts w:cs="Times New Roman"/>
          <w:lang w:val="es-ES"/>
        </w:rPr>
        <w:t xml:space="preserve"> ; donde </w:t>
      </w:r>
      <w:r w:rsidRPr="0051476A">
        <w:rPr>
          <w:rFonts w:cs="Times New Roman"/>
          <w:i/>
          <w:lang w:val="es-ES"/>
        </w:rPr>
        <w:t>X</w:t>
      </w:r>
      <w:r w:rsidRPr="0051476A">
        <w:rPr>
          <w:rFonts w:cs="Times New Roman"/>
          <w:lang w:val="es-ES"/>
        </w:rPr>
        <w:t xml:space="preserve"> es el valor que se desea normalizar, </w:t>
      </w:r>
      <w:r w:rsidRPr="0051476A">
        <w:rPr>
          <w:rFonts w:cs="Times New Roman"/>
          <w:i/>
          <w:lang w:val="es-ES"/>
        </w:rPr>
        <w:t>μ</w:t>
      </w:r>
      <w:r w:rsidRPr="0051476A">
        <w:rPr>
          <w:rFonts w:cs="Times New Roman"/>
          <w:lang w:val="es-ES"/>
        </w:rPr>
        <w:t xml:space="preserve"> la media aritmética y </w:t>
      </w:r>
      <w:r w:rsidRPr="0051476A">
        <w:rPr>
          <w:rFonts w:cs="Times New Roman"/>
          <w:i/>
          <w:lang w:val="es-ES"/>
        </w:rPr>
        <w:t>σ</w:t>
      </w:r>
      <w:r w:rsidRPr="0051476A">
        <w:rPr>
          <w:rFonts w:cs="Times New Roman"/>
          <w:lang w:val="es-ES"/>
        </w:rPr>
        <w:t xml:space="preserve"> la desviación estándar.</w:t>
      </w:r>
    </w:p>
    <w:p w14:paraId="5EA278D4" w14:textId="15D75103" w:rsidR="007936FB" w:rsidRPr="0051476A" w:rsidRDefault="00A21553" w:rsidP="007A4368">
      <w:pPr>
        <w:spacing w:after="0"/>
        <w:ind w:firstLine="708"/>
        <w:rPr>
          <w:rFonts w:cs="Times New Roman"/>
        </w:rPr>
      </w:pPr>
      <w:r w:rsidRPr="0051476A">
        <w:rPr>
          <w:rFonts w:cs="Times New Roman"/>
          <w:lang w:val="es-ES"/>
        </w:rPr>
        <w:t>Finalmente, para obtener el IVA se sumaron el índice de exposición y el de sensibilidad, a esta suma se le restó el índice de capacidad adaptativa.</w:t>
      </w:r>
      <w:r w:rsidRPr="0051476A">
        <w:rPr>
          <w:rFonts w:cs="Times New Roman"/>
        </w:rPr>
        <w:t xml:space="preserve"> La relación funcional del IVA fue como sigue: </w:t>
      </w:r>
    </w:p>
    <w:p w14:paraId="70E55399" w14:textId="77777777" w:rsidR="007936FB" w:rsidRPr="0051476A" w:rsidRDefault="007936FB" w:rsidP="007A4368">
      <w:pPr>
        <w:spacing w:after="0"/>
        <w:rPr>
          <w:rFonts w:cs="Times New Roman"/>
          <w:i/>
        </w:rPr>
      </w:pPr>
    </w:p>
    <w:p w14:paraId="1A024325" w14:textId="31E31D3C" w:rsidR="007936FB" w:rsidRPr="0051476A" w:rsidRDefault="00A21553" w:rsidP="007A4368">
      <w:pPr>
        <w:spacing w:after="0"/>
        <w:jc w:val="center"/>
        <w:rPr>
          <w:rFonts w:cs="Times New Roman"/>
          <w:i/>
        </w:rPr>
      </w:pPr>
      <w:r w:rsidRPr="0051476A">
        <w:rPr>
          <w:rFonts w:cs="Times New Roman"/>
          <w:i/>
        </w:rPr>
        <w:t>IVA = exposición + sensibilidad – capacidad adaptativa</w:t>
      </w:r>
    </w:p>
    <w:p w14:paraId="3F584046" w14:textId="77777777" w:rsidR="004F4C7C" w:rsidRDefault="004F4C7C" w:rsidP="007A4368">
      <w:pPr>
        <w:spacing w:after="0"/>
        <w:jc w:val="center"/>
        <w:rPr>
          <w:rFonts w:cs="Times New Roman"/>
          <w:b/>
          <w:sz w:val="32"/>
          <w:szCs w:val="32"/>
        </w:rPr>
      </w:pPr>
    </w:p>
    <w:p w14:paraId="3D9223E4" w14:textId="291F6620" w:rsidR="007936FB" w:rsidRPr="0051476A" w:rsidRDefault="00A21553" w:rsidP="007A4368">
      <w:pPr>
        <w:spacing w:after="0"/>
        <w:jc w:val="center"/>
        <w:rPr>
          <w:rFonts w:cs="Times New Roman"/>
          <w:b/>
          <w:sz w:val="32"/>
          <w:szCs w:val="32"/>
        </w:rPr>
      </w:pPr>
      <w:r w:rsidRPr="0051476A">
        <w:rPr>
          <w:rFonts w:cs="Times New Roman"/>
          <w:b/>
          <w:sz w:val="32"/>
          <w:szCs w:val="32"/>
        </w:rPr>
        <w:t>Resultados y discusión</w:t>
      </w:r>
    </w:p>
    <w:p w14:paraId="2A77C722" w14:textId="5239D090" w:rsidR="007936FB" w:rsidRPr="0051476A" w:rsidRDefault="00A21553" w:rsidP="007A4368">
      <w:pPr>
        <w:spacing w:after="0"/>
        <w:ind w:firstLine="567"/>
        <w:rPr>
          <w:rFonts w:cs="Times New Roman"/>
          <w:b/>
        </w:rPr>
      </w:pPr>
      <w:r w:rsidRPr="0051476A">
        <w:rPr>
          <w:rFonts w:cs="Times New Roman"/>
        </w:rPr>
        <w:t xml:space="preserve">En los seis municipios identificados con alta o muy alta vulnerabilidad </w:t>
      </w:r>
      <w:r w:rsidRPr="0051476A">
        <w:rPr>
          <w:rFonts w:cs="Times New Roman"/>
          <w:color w:val="000000" w:themeColor="text1"/>
        </w:rPr>
        <w:t>habitan 157</w:t>
      </w:r>
      <w:r w:rsidRPr="0051476A">
        <w:rPr>
          <w:rFonts w:cs="Times New Roman"/>
        </w:rPr>
        <w:t xml:space="preserve"> 832 personas que representan 15 % de la población estatal; en los cinco municipios con vulnerabilidad media habitan 246 859 personas (23 % de la población); por último, 680 288 habitantes (62 %) distribuidos en nueve municipios presentan baja o muy baja vulnerabilidad alimentaria. Por su parte, los factores generales identificados como impulsores de vulnerabilidad fueron:</w:t>
      </w:r>
      <w:r w:rsidRPr="0051476A">
        <w:rPr>
          <w:rFonts w:eastAsia="Calibri" w:cs="Times New Roman"/>
        </w:rPr>
        <w:t xml:space="preserve"> deficiente dotación de carreteras pavimentadas, baja actividad económica y bajo nivel de escolaridad del jefe o jefa de familia.</w:t>
      </w:r>
    </w:p>
    <w:p w14:paraId="501F2D01" w14:textId="3FB86DA5" w:rsidR="007936FB" w:rsidRPr="0051476A" w:rsidRDefault="00A21553" w:rsidP="007A4368">
      <w:pPr>
        <w:spacing w:after="0"/>
        <w:ind w:firstLine="708"/>
        <w:rPr>
          <w:rFonts w:cs="Times New Roman"/>
        </w:rPr>
      </w:pPr>
      <w:r w:rsidRPr="0051476A">
        <w:rPr>
          <w:rFonts w:cs="Times New Roman"/>
        </w:rPr>
        <w:t>Los resultados de las estimaciones expresadas en índices se presentan en la tabla 1, donde resalta que el valor más alto del ISEV (2.10) es considerablemente superior al que le sigue (0.73). Por lo demás, los valores de este índice se distribuyen de manera regular.</w:t>
      </w:r>
    </w:p>
    <w:p w14:paraId="570E6E68" w14:textId="77777777" w:rsidR="007936FB" w:rsidRDefault="007936FB" w:rsidP="007A4368">
      <w:pPr>
        <w:spacing w:after="0"/>
        <w:ind w:firstLine="567"/>
        <w:rPr>
          <w:rFonts w:cs="Times New Roman"/>
        </w:rPr>
      </w:pPr>
    </w:p>
    <w:p w14:paraId="37A68A58" w14:textId="77777777" w:rsidR="004F4C7C" w:rsidRDefault="004F4C7C" w:rsidP="007A4368">
      <w:pPr>
        <w:spacing w:after="0"/>
        <w:ind w:firstLine="567"/>
        <w:rPr>
          <w:rFonts w:cs="Times New Roman"/>
        </w:rPr>
      </w:pPr>
    </w:p>
    <w:p w14:paraId="0B162A17" w14:textId="77777777" w:rsidR="004F4C7C" w:rsidRDefault="004F4C7C" w:rsidP="007A4368">
      <w:pPr>
        <w:spacing w:after="0"/>
        <w:ind w:firstLine="567"/>
        <w:rPr>
          <w:rFonts w:cs="Times New Roman"/>
        </w:rPr>
      </w:pPr>
    </w:p>
    <w:p w14:paraId="6C5958D8" w14:textId="77777777" w:rsidR="004F4C7C" w:rsidRDefault="004F4C7C" w:rsidP="007A4368">
      <w:pPr>
        <w:spacing w:after="0"/>
        <w:ind w:firstLine="567"/>
        <w:rPr>
          <w:rFonts w:cs="Times New Roman"/>
        </w:rPr>
      </w:pPr>
    </w:p>
    <w:p w14:paraId="419709C3" w14:textId="1A45BD79" w:rsidR="007936FB" w:rsidRDefault="00A21553" w:rsidP="007A4368">
      <w:pPr>
        <w:spacing w:after="0"/>
        <w:jc w:val="center"/>
        <w:rPr>
          <w:rFonts w:cs="Times New Roman"/>
        </w:rPr>
      </w:pPr>
      <w:r w:rsidRPr="0051476A">
        <w:rPr>
          <w:rFonts w:cs="Times New Roman"/>
          <w:b/>
          <w:bCs/>
        </w:rPr>
        <w:lastRenderedPageBreak/>
        <w:t>Tabla 1</w:t>
      </w:r>
      <w:r w:rsidRPr="0051476A">
        <w:rPr>
          <w:rFonts w:cs="Times New Roman"/>
        </w:rPr>
        <w:t xml:space="preserve">. </w:t>
      </w:r>
      <w:r w:rsidR="007F64A1" w:rsidRPr="0051476A">
        <w:rPr>
          <w:rFonts w:cs="Times New Roman"/>
        </w:rPr>
        <w:t xml:space="preserve">ISEV </w:t>
      </w:r>
      <w:r w:rsidRPr="0051476A">
        <w:rPr>
          <w:rFonts w:cs="Times New Roman"/>
        </w:rPr>
        <w:t>por variables y municipios</w:t>
      </w:r>
    </w:p>
    <w:tbl>
      <w:tblPr>
        <w:tblStyle w:val="Tablaconcuadrcula"/>
        <w:tblW w:w="7979" w:type="dxa"/>
        <w:jc w:val="center"/>
        <w:tblLayout w:type="fixed"/>
        <w:tblLook w:val="04A0" w:firstRow="1" w:lastRow="0" w:firstColumn="1" w:lastColumn="0" w:noHBand="0" w:noVBand="1"/>
      </w:tblPr>
      <w:tblGrid>
        <w:gridCol w:w="2417"/>
        <w:gridCol w:w="1390"/>
        <w:gridCol w:w="1391"/>
        <w:gridCol w:w="1390"/>
        <w:gridCol w:w="1391"/>
      </w:tblGrid>
      <w:tr w:rsidR="004E3885" w:rsidRPr="0000085E" w14:paraId="09C5E391" w14:textId="77777777" w:rsidTr="004F4C7C">
        <w:trPr>
          <w:trHeight w:val="397"/>
          <w:jc w:val="center"/>
        </w:trPr>
        <w:tc>
          <w:tcPr>
            <w:tcW w:w="2417" w:type="dxa"/>
            <w:shd w:val="clear" w:color="auto" w:fill="D9D9D9" w:themeFill="background1" w:themeFillShade="D9"/>
            <w:noWrap/>
            <w:vAlign w:val="center"/>
            <w:hideMark/>
          </w:tcPr>
          <w:p w14:paraId="372F15E9" w14:textId="77777777" w:rsidR="004E3885" w:rsidRPr="0000085E" w:rsidRDefault="004E3885" w:rsidP="007A4368">
            <w:pPr>
              <w:spacing w:line="240" w:lineRule="auto"/>
              <w:jc w:val="center"/>
              <w:rPr>
                <w:color w:val="000000"/>
              </w:rPr>
            </w:pPr>
          </w:p>
        </w:tc>
        <w:tc>
          <w:tcPr>
            <w:tcW w:w="1390" w:type="dxa"/>
            <w:shd w:val="clear" w:color="auto" w:fill="D9D9D9" w:themeFill="background1" w:themeFillShade="D9"/>
            <w:noWrap/>
            <w:vAlign w:val="center"/>
            <w:hideMark/>
          </w:tcPr>
          <w:p w14:paraId="24685766" w14:textId="77777777" w:rsidR="004E3885" w:rsidRPr="0000085E" w:rsidRDefault="004E3885" w:rsidP="007A4368">
            <w:pPr>
              <w:spacing w:line="240" w:lineRule="auto"/>
              <w:jc w:val="center"/>
              <w:rPr>
                <w:color w:val="000000"/>
              </w:rPr>
            </w:pPr>
            <w:r w:rsidRPr="0000085E">
              <w:rPr>
                <w:color w:val="000000"/>
              </w:rPr>
              <w:t>IDSE</w:t>
            </w:r>
          </w:p>
        </w:tc>
        <w:tc>
          <w:tcPr>
            <w:tcW w:w="1391" w:type="dxa"/>
            <w:shd w:val="clear" w:color="auto" w:fill="D9D9D9" w:themeFill="background1" w:themeFillShade="D9"/>
            <w:noWrap/>
            <w:vAlign w:val="center"/>
            <w:hideMark/>
          </w:tcPr>
          <w:p w14:paraId="51EDB008" w14:textId="77777777" w:rsidR="004E3885" w:rsidRPr="0000085E" w:rsidRDefault="004E3885" w:rsidP="007A4368">
            <w:pPr>
              <w:spacing w:line="240" w:lineRule="auto"/>
              <w:jc w:val="center"/>
              <w:rPr>
                <w:color w:val="000000"/>
              </w:rPr>
            </w:pPr>
            <w:r w:rsidRPr="0000085E">
              <w:rPr>
                <w:color w:val="000000"/>
              </w:rPr>
              <w:t>VA</w:t>
            </w:r>
          </w:p>
        </w:tc>
        <w:tc>
          <w:tcPr>
            <w:tcW w:w="1390" w:type="dxa"/>
            <w:shd w:val="clear" w:color="auto" w:fill="D9D9D9" w:themeFill="background1" w:themeFillShade="D9"/>
            <w:noWrap/>
            <w:vAlign w:val="center"/>
            <w:hideMark/>
          </w:tcPr>
          <w:p w14:paraId="268703CA" w14:textId="77777777" w:rsidR="004E3885" w:rsidRPr="0000085E" w:rsidRDefault="004E3885" w:rsidP="007A4368">
            <w:pPr>
              <w:spacing w:line="240" w:lineRule="auto"/>
              <w:jc w:val="center"/>
              <w:rPr>
                <w:color w:val="000000"/>
              </w:rPr>
            </w:pPr>
            <w:r w:rsidRPr="0000085E">
              <w:rPr>
                <w:color w:val="000000"/>
              </w:rPr>
              <w:t>IA</w:t>
            </w:r>
          </w:p>
        </w:tc>
        <w:tc>
          <w:tcPr>
            <w:tcW w:w="1391" w:type="dxa"/>
            <w:shd w:val="clear" w:color="auto" w:fill="D9D9D9" w:themeFill="background1" w:themeFillShade="D9"/>
            <w:noWrap/>
            <w:vAlign w:val="center"/>
            <w:hideMark/>
          </w:tcPr>
          <w:p w14:paraId="24A930E7" w14:textId="77777777" w:rsidR="004E3885" w:rsidRPr="0000085E" w:rsidRDefault="004E3885" w:rsidP="007A4368">
            <w:pPr>
              <w:spacing w:line="240" w:lineRule="auto"/>
              <w:jc w:val="center"/>
              <w:rPr>
                <w:color w:val="000000"/>
              </w:rPr>
            </w:pPr>
            <w:r w:rsidRPr="0000085E">
              <w:rPr>
                <w:color w:val="000000"/>
              </w:rPr>
              <w:t>IGVA</w:t>
            </w:r>
          </w:p>
        </w:tc>
      </w:tr>
      <w:tr w:rsidR="004E3885" w:rsidRPr="0000085E" w14:paraId="7FB4418A" w14:textId="77777777" w:rsidTr="004F4C7C">
        <w:trPr>
          <w:trHeight w:val="300"/>
          <w:jc w:val="center"/>
        </w:trPr>
        <w:tc>
          <w:tcPr>
            <w:tcW w:w="2417" w:type="dxa"/>
            <w:noWrap/>
            <w:hideMark/>
          </w:tcPr>
          <w:p w14:paraId="07B7D665" w14:textId="77777777" w:rsidR="004E3885" w:rsidRPr="0000085E" w:rsidRDefault="004E3885" w:rsidP="007A4368">
            <w:pPr>
              <w:spacing w:line="240" w:lineRule="auto"/>
              <w:rPr>
                <w:b/>
                <w:color w:val="000000"/>
              </w:rPr>
            </w:pPr>
            <w:r w:rsidRPr="0000085E">
              <w:rPr>
                <w:color w:val="000000"/>
              </w:rPr>
              <w:t>Del Nayar</w:t>
            </w:r>
          </w:p>
        </w:tc>
        <w:tc>
          <w:tcPr>
            <w:tcW w:w="1390" w:type="dxa"/>
            <w:noWrap/>
            <w:hideMark/>
          </w:tcPr>
          <w:p w14:paraId="32A89451" w14:textId="77777777" w:rsidR="004E3885" w:rsidRPr="0000085E" w:rsidRDefault="004E3885" w:rsidP="007A4368">
            <w:pPr>
              <w:spacing w:line="240" w:lineRule="auto"/>
              <w:jc w:val="center"/>
              <w:rPr>
                <w:color w:val="000000"/>
              </w:rPr>
            </w:pPr>
            <w:r w:rsidRPr="0000085E">
              <w:rPr>
                <w:color w:val="000000"/>
              </w:rPr>
              <w:t>-2.75</w:t>
            </w:r>
          </w:p>
        </w:tc>
        <w:tc>
          <w:tcPr>
            <w:tcW w:w="1391" w:type="dxa"/>
            <w:noWrap/>
            <w:hideMark/>
          </w:tcPr>
          <w:p w14:paraId="084EC70A" w14:textId="77777777" w:rsidR="004E3885" w:rsidRPr="0000085E" w:rsidRDefault="004E3885" w:rsidP="007A4368">
            <w:pPr>
              <w:spacing w:line="240" w:lineRule="auto"/>
              <w:jc w:val="center"/>
              <w:rPr>
                <w:color w:val="000000"/>
              </w:rPr>
            </w:pPr>
            <w:r w:rsidRPr="0000085E">
              <w:rPr>
                <w:color w:val="000000"/>
              </w:rPr>
              <w:t>1.01</w:t>
            </w:r>
          </w:p>
        </w:tc>
        <w:tc>
          <w:tcPr>
            <w:tcW w:w="1390" w:type="dxa"/>
            <w:noWrap/>
            <w:hideMark/>
          </w:tcPr>
          <w:p w14:paraId="5136756B" w14:textId="77777777" w:rsidR="004E3885" w:rsidRPr="0000085E" w:rsidRDefault="004E3885" w:rsidP="007A4368">
            <w:pPr>
              <w:spacing w:line="240" w:lineRule="auto"/>
              <w:jc w:val="center"/>
              <w:rPr>
                <w:color w:val="000000"/>
              </w:rPr>
            </w:pPr>
            <w:r w:rsidRPr="0000085E">
              <w:rPr>
                <w:color w:val="000000"/>
              </w:rPr>
              <w:t>2.54</w:t>
            </w:r>
          </w:p>
        </w:tc>
        <w:tc>
          <w:tcPr>
            <w:tcW w:w="1391" w:type="dxa"/>
            <w:noWrap/>
            <w:hideMark/>
          </w:tcPr>
          <w:p w14:paraId="314358D9" w14:textId="77777777" w:rsidR="004E3885" w:rsidRPr="0000085E" w:rsidRDefault="004E3885" w:rsidP="007A4368">
            <w:pPr>
              <w:spacing w:line="240" w:lineRule="auto"/>
              <w:jc w:val="center"/>
              <w:rPr>
                <w:color w:val="000000"/>
              </w:rPr>
            </w:pPr>
            <w:r w:rsidRPr="0000085E">
              <w:rPr>
                <w:color w:val="000000"/>
              </w:rPr>
              <w:t>2.10</w:t>
            </w:r>
          </w:p>
        </w:tc>
      </w:tr>
      <w:tr w:rsidR="004E3885" w:rsidRPr="0000085E" w14:paraId="2D5B937D" w14:textId="77777777" w:rsidTr="004F4C7C">
        <w:trPr>
          <w:trHeight w:val="300"/>
          <w:jc w:val="center"/>
        </w:trPr>
        <w:tc>
          <w:tcPr>
            <w:tcW w:w="2417" w:type="dxa"/>
            <w:noWrap/>
            <w:hideMark/>
          </w:tcPr>
          <w:p w14:paraId="41433AA0" w14:textId="77777777" w:rsidR="004E3885" w:rsidRPr="0000085E" w:rsidRDefault="004E3885" w:rsidP="007A4368">
            <w:pPr>
              <w:spacing w:line="240" w:lineRule="auto"/>
              <w:rPr>
                <w:b/>
                <w:color w:val="000000"/>
              </w:rPr>
            </w:pPr>
            <w:r w:rsidRPr="0000085E">
              <w:rPr>
                <w:color w:val="000000"/>
              </w:rPr>
              <w:t>Jala</w:t>
            </w:r>
          </w:p>
        </w:tc>
        <w:tc>
          <w:tcPr>
            <w:tcW w:w="1390" w:type="dxa"/>
            <w:noWrap/>
            <w:hideMark/>
          </w:tcPr>
          <w:p w14:paraId="4B2CF0C1" w14:textId="77777777" w:rsidR="004E3885" w:rsidRPr="0000085E" w:rsidRDefault="004E3885" w:rsidP="007A4368">
            <w:pPr>
              <w:spacing w:line="240" w:lineRule="auto"/>
              <w:jc w:val="center"/>
              <w:rPr>
                <w:color w:val="000000"/>
              </w:rPr>
            </w:pPr>
            <w:r w:rsidRPr="0000085E">
              <w:rPr>
                <w:color w:val="000000"/>
              </w:rPr>
              <w:t>-0.01</w:t>
            </w:r>
          </w:p>
        </w:tc>
        <w:tc>
          <w:tcPr>
            <w:tcW w:w="1391" w:type="dxa"/>
            <w:noWrap/>
            <w:hideMark/>
          </w:tcPr>
          <w:p w14:paraId="161CF3C8" w14:textId="77777777" w:rsidR="004E3885" w:rsidRPr="0000085E" w:rsidRDefault="004E3885" w:rsidP="007A4368">
            <w:pPr>
              <w:spacing w:line="240" w:lineRule="auto"/>
              <w:jc w:val="center"/>
              <w:rPr>
                <w:color w:val="000000"/>
              </w:rPr>
            </w:pPr>
            <w:r w:rsidRPr="0000085E">
              <w:rPr>
                <w:color w:val="000000"/>
              </w:rPr>
              <w:t>0.49</w:t>
            </w:r>
          </w:p>
        </w:tc>
        <w:tc>
          <w:tcPr>
            <w:tcW w:w="1390" w:type="dxa"/>
            <w:noWrap/>
            <w:hideMark/>
          </w:tcPr>
          <w:p w14:paraId="6FC1070F" w14:textId="77777777" w:rsidR="004E3885" w:rsidRPr="0000085E" w:rsidRDefault="004E3885" w:rsidP="007A4368">
            <w:pPr>
              <w:spacing w:line="240" w:lineRule="auto"/>
              <w:jc w:val="center"/>
              <w:rPr>
                <w:color w:val="000000"/>
              </w:rPr>
            </w:pPr>
            <w:r w:rsidRPr="0000085E">
              <w:rPr>
                <w:color w:val="000000"/>
              </w:rPr>
              <w:t>1.70</w:t>
            </w:r>
          </w:p>
        </w:tc>
        <w:tc>
          <w:tcPr>
            <w:tcW w:w="1391" w:type="dxa"/>
            <w:noWrap/>
            <w:hideMark/>
          </w:tcPr>
          <w:p w14:paraId="5B38CE9F" w14:textId="77777777" w:rsidR="004E3885" w:rsidRPr="0000085E" w:rsidRDefault="004E3885" w:rsidP="007A4368">
            <w:pPr>
              <w:spacing w:line="240" w:lineRule="auto"/>
              <w:jc w:val="center"/>
              <w:rPr>
                <w:color w:val="000000"/>
              </w:rPr>
            </w:pPr>
            <w:r w:rsidRPr="0000085E">
              <w:rPr>
                <w:color w:val="000000"/>
              </w:rPr>
              <w:t>0.73</w:t>
            </w:r>
          </w:p>
        </w:tc>
      </w:tr>
      <w:tr w:rsidR="004E3885" w:rsidRPr="0000085E" w14:paraId="78E12307" w14:textId="77777777" w:rsidTr="004F4C7C">
        <w:trPr>
          <w:trHeight w:val="300"/>
          <w:jc w:val="center"/>
        </w:trPr>
        <w:tc>
          <w:tcPr>
            <w:tcW w:w="2417" w:type="dxa"/>
            <w:noWrap/>
            <w:hideMark/>
          </w:tcPr>
          <w:p w14:paraId="2D35E134" w14:textId="77777777" w:rsidR="004E3885" w:rsidRPr="0000085E" w:rsidRDefault="004E3885" w:rsidP="007A4368">
            <w:pPr>
              <w:spacing w:line="240" w:lineRule="auto"/>
              <w:rPr>
                <w:b/>
                <w:color w:val="000000"/>
              </w:rPr>
            </w:pPr>
            <w:r w:rsidRPr="0000085E">
              <w:rPr>
                <w:color w:val="000000"/>
              </w:rPr>
              <w:t>Acaponeta</w:t>
            </w:r>
          </w:p>
        </w:tc>
        <w:tc>
          <w:tcPr>
            <w:tcW w:w="1390" w:type="dxa"/>
            <w:noWrap/>
            <w:hideMark/>
          </w:tcPr>
          <w:p w14:paraId="070D439D" w14:textId="77777777" w:rsidR="004E3885" w:rsidRPr="0000085E" w:rsidRDefault="004E3885" w:rsidP="007A4368">
            <w:pPr>
              <w:spacing w:line="240" w:lineRule="auto"/>
              <w:jc w:val="center"/>
              <w:rPr>
                <w:color w:val="000000"/>
              </w:rPr>
            </w:pPr>
            <w:r w:rsidRPr="0000085E">
              <w:rPr>
                <w:color w:val="000000"/>
              </w:rPr>
              <w:t>0.00</w:t>
            </w:r>
          </w:p>
        </w:tc>
        <w:tc>
          <w:tcPr>
            <w:tcW w:w="1391" w:type="dxa"/>
            <w:noWrap/>
            <w:hideMark/>
          </w:tcPr>
          <w:p w14:paraId="22E78899" w14:textId="77777777" w:rsidR="004E3885" w:rsidRPr="0000085E" w:rsidRDefault="004E3885" w:rsidP="007A4368">
            <w:pPr>
              <w:spacing w:line="240" w:lineRule="auto"/>
              <w:jc w:val="center"/>
              <w:rPr>
                <w:color w:val="000000"/>
              </w:rPr>
            </w:pPr>
            <w:r w:rsidRPr="0000085E">
              <w:rPr>
                <w:color w:val="000000"/>
              </w:rPr>
              <w:t>0.95</w:t>
            </w:r>
          </w:p>
        </w:tc>
        <w:tc>
          <w:tcPr>
            <w:tcW w:w="1390" w:type="dxa"/>
            <w:noWrap/>
            <w:hideMark/>
          </w:tcPr>
          <w:p w14:paraId="27700FA7" w14:textId="77777777" w:rsidR="004E3885" w:rsidRPr="0000085E" w:rsidRDefault="004E3885" w:rsidP="007A4368">
            <w:pPr>
              <w:spacing w:line="240" w:lineRule="auto"/>
              <w:jc w:val="center"/>
              <w:rPr>
                <w:color w:val="000000"/>
              </w:rPr>
            </w:pPr>
            <w:r w:rsidRPr="0000085E">
              <w:rPr>
                <w:color w:val="000000"/>
              </w:rPr>
              <w:t>0.54</w:t>
            </w:r>
          </w:p>
        </w:tc>
        <w:tc>
          <w:tcPr>
            <w:tcW w:w="1391" w:type="dxa"/>
            <w:noWrap/>
            <w:hideMark/>
          </w:tcPr>
          <w:p w14:paraId="11154ABE" w14:textId="77777777" w:rsidR="004E3885" w:rsidRPr="0000085E" w:rsidRDefault="004E3885" w:rsidP="007A4368">
            <w:pPr>
              <w:spacing w:line="240" w:lineRule="auto"/>
              <w:jc w:val="center"/>
              <w:rPr>
                <w:color w:val="000000"/>
              </w:rPr>
            </w:pPr>
            <w:r w:rsidRPr="0000085E">
              <w:rPr>
                <w:color w:val="000000"/>
              </w:rPr>
              <w:t>0.50</w:t>
            </w:r>
          </w:p>
        </w:tc>
      </w:tr>
      <w:tr w:rsidR="004E3885" w:rsidRPr="0000085E" w14:paraId="1D9778C6" w14:textId="77777777" w:rsidTr="004F4C7C">
        <w:trPr>
          <w:trHeight w:val="300"/>
          <w:jc w:val="center"/>
        </w:trPr>
        <w:tc>
          <w:tcPr>
            <w:tcW w:w="2417" w:type="dxa"/>
            <w:noWrap/>
            <w:hideMark/>
          </w:tcPr>
          <w:p w14:paraId="7009B2BC" w14:textId="77777777" w:rsidR="004E3885" w:rsidRPr="0000085E" w:rsidRDefault="004E3885" w:rsidP="007A4368">
            <w:pPr>
              <w:spacing w:line="240" w:lineRule="auto"/>
              <w:rPr>
                <w:b/>
                <w:color w:val="000000"/>
              </w:rPr>
            </w:pPr>
            <w:r w:rsidRPr="0000085E">
              <w:rPr>
                <w:color w:val="000000"/>
              </w:rPr>
              <w:t>Rosamorada</w:t>
            </w:r>
          </w:p>
        </w:tc>
        <w:tc>
          <w:tcPr>
            <w:tcW w:w="1390" w:type="dxa"/>
            <w:noWrap/>
            <w:hideMark/>
          </w:tcPr>
          <w:p w14:paraId="3F1AC56A" w14:textId="77777777" w:rsidR="004E3885" w:rsidRPr="0000085E" w:rsidRDefault="004E3885" w:rsidP="007A4368">
            <w:pPr>
              <w:spacing w:line="240" w:lineRule="auto"/>
              <w:jc w:val="center"/>
              <w:rPr>
                <w:color w:val="000000"/>
              </w:rPr>
            </w:pPr>
            <w:r w:rsidRPr="0000085E">
              <w:rPr>
                <w:color w:val="000000"/>
              </w:rPr>
              <w:t>-0.45</w:t>
            </w:r>
          </w:p>
        </w:tc>
        <w:tc>
          <w:tcPr>
            <w:tcW w:w="1391" w:type="dxa"/>
            <w:noWrap/>
            <w:hideMark/>
          </w:tcPr>
          <w:p w14:paraId="01145BBD" w14:textId="77777777" w:rsidR="004E3885" w:rsidRPr="0000085E" w:rsidRDefault="004E3885" w:rsidP="007A4368">
            <w:pPr>
              <w:spacing w:line="240" w:lineRule="auto"/>
              <w:jc w:val="center"/>
              <w:rPr>
                <w:color w:val="000000"/>
              </w:rPr>
            </w:pPr>
            <w:r w:rsidRPr="0000085E">
              <w:rPr>
                <w:color w:val="000000"/>
              </w:rPr>
              <w:t>0.41</w:t>
            </w:r>
          </w:p>
        </w:tc>
        <w:tc>
          <w:tcPr>
            <w:tcW w:w="1390" w:type="dxa"/>
            <w:noWrap/>
            <w:hideMark/>
          </w:tcPr>
          <w:p w14:paraId="0510082D" w14:textId="77777777" w:rsidR="004E3885" w:rsidRPr="0000085E" w:rsidRDefault="004E3885" w:rsidP="007A4368">
            <w:pPr>
              <w:spacing w:line="240" w:lineRule="auto"/>
              <w:jc w:val="center"/>
              <w:rPr>
                <w:color w:val="000000"/>
              </w:rPr>
            </w:pPr>
            <w:r w:rsidRPr="0000085E">
              <w:rPr>
                <w:color w:val="000000"/>
              </w:rPr>
              <w:t>0.55</w:t>
            </w:r>
          </w:p>
        </w:tc>
        <w:tc>
          <w:tcPr>
            <w:tcW w:w="1391" w:type="dxa"/>
            <w:noWrap/>
            <w:hideMark/>
          </w:tcPr>
          <w:p w14:paraId="531667C3" w14:textId="77777777" w:rsidR="004E3885" w:rsidRPr="0000085E" w:rsidRDefault="004E3885" w:rsidP="007A4368">
            <w:pPr>
              <w:spacing w:line="240" w:lineRule="auto"/>
              <w:jc w:val="center"/>
              <w:rPr>
                <w:color w:val="000000"/>
              </w:rPr>
            </w:pPr>
            <w:r w:rsidRPr="0000085E">
              <w:rPr>
                <w:color w:val="000000"/>
              </w:rPr>
              <w:t>0.47</w:t>
            </w:r>
          </w:p>
        </w:tc>
      </w:tr>
      <w:tr w:rsidR="004E3885" w:rsidRPr="0000085E" w14:paraId="3F85A593" w14:textId="77777777" w:rsidTr="004F4C7C">
        <w:trPr>
          <w:trHeight w:val="300"/>
          <w:jc w:val="center"/>
        </w:trPr>
        <w:tc>
          <w:tcPr>
            <w:tcW w:w="2417" w:type="dxa"/>
            <w:noWrap/>
            <w:hideMark/>
          </w:tcPr>
          <w:p w14:paraId="57010664" w14:textId="77777777" w:rsidR="004E3885" w:rsidRPr="0000085E" w:rsidRDefault="004E3885" w:rsidP="007A4368">
            <w:pPr>
              <w:spacing w:line="240" w:lineRule="auto"/>
              <w:rPr>
                <w:b/>
                <w:color w:val="000000"/>
              </w:rPr>
            </w:pPr>
            <w:r w:rsidRPr="0000085E">
              <w:rPr>
                <w:color w:val="000000"/>
              </w:rPr>
              <w:t>Ruíz</w:t>
            </w:r>
          </w:p>
        </w:tc>
        <w:tc>
          <w:tcPr>
            <w:tcW w:w="1390" w:type="dxa"/>
            <w:noWrap/>
            <w:hideMark/>
          </w:tcPr>
          <w:p w14:paraId="5D5F0896" w14:textId="77777777" w:rsidR="004E3885" w:rsidRPr="0000085E" w:rsidRDefault="004E3885" w:rsidP="007A4368">
            <w:pPr>
              <w:spacing w:line="240" w:lineRule="auto"/>
              <w:jc w:val="center"/>
              <w:rPr>
                <w:color w:val="000000"/>
              </w:rPr>
            </w:pPr>
            <w:r w:rsidRPr="0000085E">
              <w:rPr>
                <w:color w:val="000000"/>
              </w:rPr>
              <w:t>0.17</w:t>
            </w:r>
          </w:p>
        </w:tc>
        <w:tc>
          <w:tcPr>
            <w:tcW w:w="1391" w:type="dxa"/>
            <w:noWrap/>
            <w:hideMark/>
          </w:tcPr>
          <w:p w14:paraId="21D94FAA" w14:textId="77777777" w:rsidR="004E3885" w:rsidRPr="0000085E" w:rsidRDefault="004E3885" w:rsidP="007A4368">
            <w:pPr>
              <w:spacing w:line="240" w:lineRule="auto"/>
              <w:jc w:val="center"/>
              <w:rPr>
                <w:color w:val="000000"/>
              </w:rPr>
            </w:pPr>
            <w:r w:rsidRPr="0000085E">
              <w:rPr>
                <w:color w:val="000000"/>
              </w:rPr>
              <w:t>0.92</w:t>
            </w:r>
          </w:p>
        </w:tc>
        <w:tc>
          <w:tcPr>
            <w:tcW w:w="1390" w:type="dxa"/>
            <w:noWrap/>
            <w:hideMark/>
          </w:tcPr>
          <w:p w14:paraId="28D1F930" w14:textId="77777777" w:rsidR="004E3885" w:rsidRPr="0000085E" w:rsidRDefault="004E3885" w:rsidP="007A4368">
            <w:pPr>
              <w:spacing w:line="240" w:lineRule="auto"/>
              <w:jc w:val="center"/>
              <w:rPr>
                <w:color w:val="000000"/>
              </w:rPr>
            </w:pPr>
            <w:r w:rsidRPr="0000085E">
              <w:rPr>
                <w:color w:val="000000"/>
              </w:rPr>
              <w:t>0.43</w:t>
            </w:r>
          </w:p>
        </w:tc>
        <w:tc>
          <w:tcPr>
            <w:tcW w:w="1391" w:type="dxa"/>
            <w:noWrap/>
            <w:hideMark/>
          </w:tcPr>
          <w:p w14:paraId="1A516468" w14:textId="77777777" w:rsidR="004E3885" w:rsidRPr="0000085E" w:rsidRDefault="004E3885" w:rsidP="007A4368">
            <w:pPr>
              <w:spacing w:line="240" w:lineRule="auto"/>
              <w:jc w:val="center"/>
              <w:rPr>
                <w:color w:val="000000"/>
              </w:rPr>
            </w:pPr>
            <w:r w:rsidRPr="0000085E">
              <w:rPr>
                <w:color w:val="000000"/>
              </w:rPr>
              <w:t>0.39</w:t>
            </w:r>
          </w:p>
        </w:tc>
      </w:tr>
      <w:tr w:rsidR="004E3885" w:rsidRPr="0000085E" w14:paraId="18EE54D7" w14:textId="77777777" w:rsidTr="004F4C7C">
        <w:trPr>
          <w:trHeight w:val="300"/>
          <w:jc w:val="center"/>
        </w:trPr>
        <w:tc>
          <w:tcPr>
            <w:tcW w:w="2417" w:type="dxa"/>
            <w:noWrap/>
            <w:hideMark/>
          </w:tcPr>
          <w:p w14:paraId="052DD04C" w14:textId="77777777" w:rsidR="004E3885" w:rsidRPr="0000085E" w:rsidRDefault="004E3885" w:rsidP="007A4368">
            <w:pPr>
              <w:spacing w:line="240" w:lineRule="auto"/>
              <w:rPr>
                <w:b/>
                <w:color w:val="000000"/>
              </w:rPr>
            </w:pPr>
            <w:r w:rsidRPr="0000085E">
              <w:rPr>
                <w:color w:val="000000"/>
              </w:rPr>
              <w:t>Huajicori</w:t>
            </w:r>
          </w:p>
        </w:tc>
        <w:tc>
          <w:tcPr>
            <w:tcW w:w="1390" w:type="dxa"/>
            <w:noWrap/>
            <w:hideMark/>
          </w:tcPr>
          <w:p w14:paraId="499CA98F" w14:textId="77777777" w:rsidR="004E3885" w:rsidRPr="0000085E" w:rsidRDefault="004E3885" w:rsidP="007A4368">
            <w:pPr>
              <w:spacing w:line="240" w:lineRule="auto"/>
              <w:jc w:val="center"/>
              <w:rPr>
                <w:color w:val="000000"/>
              </w:rPr>
            </w:pPr>
            <w:r w:rsidRPr="0000085E">
              <w:rPr>
                <w:color w:val="000000"/>
              </w:rPr>
              <w:t>-1.01</w:t>
            </w:r>
          </w:p>
        </w:tc>
        <w:tc>
          <w:tcPr>
            <w:tcW w:w="1391" w:type="dxa"/>
            <w:noWrap/>
            <w:hideMark/>
          </w:tcPr>
          <w:p w14:paraId="1A21A466" w14:textId="77777777" w:rsidR="004E3885" w:rsidRPr="0000085E" w:rsidRDefault="004E3885" w:rsidP="007A4368">
            <w:pPr>
              <w:spacing w:line="240" w:lineRule="auto"/>
              <w:jc w:val="center"/>
              <w:rPr>
                <w:color w:val="000000"/>
              </w:rPr>
            </w:pPr>
            <w:r w:rsidRPr="0000085E">
              <w:rPr>
                <w:color w:val="000000"/>
              </w:rPr>
              <w:t>0.34</w:t>
            </w:r>
          </w:p>
        </w:tc>
        <w:tc>
          <w:tcPr>
            <w:tcW w:w="1390" w:type="dxa"/>
            <w:noWrap/>
            <w:hideMark/>
          </w:tcPr>
          <w:p w14:paraId="17ACA18B" w14:textId="77777777" w:rsidR="004E3885" w:rsidRPr="0000085E" w:rsidRDefault="004E3885" w:rsidP="007A4368">
            <w:pPr>
              <w:spacing w:line="240" w:lineRule="auto"/>
              <w:jc w:val="center"/>
              <w:rPr>
                <w:color w:val="000000"/>
              </w:rPr>
            </w:pPr>
            <w:r w:rsidRPr="0000085E">
              <w:rPr>
                <w:color w:val="000000"/>
              </w:rPr>
              <w:t>-0.34</w:t>
            </w:r>
          </w:p>
        </w:tc>
        <w:tc>
          <w:tcPr>
            <w:tcW w:w="1391" w:type="dxa"/>
            <w:noWrap/>
            <w:hideMark/>
          </w:tcPr>
          <w:p w14:paraId="54BE05B8" w14:textId="77777777" w:rsidR="004E3885" w:rsidRPr="0000085E" w:rsidRDefault="004E3885" w:rsidP="007A4368">
            <w:pPr>
              <w:spacing w:line="240" w:lineRule="auto"/>
              <w:jc w:val="center"/>
              <w:rPr>
                <w:color w:val="000000"/>
              </w:rPr>
            </w:pPr>
            <w:r w:rsidRPr="0000085E">
              <w:rPr>
                <w:color w:val="000000"/>
              </w:rPr>
              <w:t>0.33</w:t>
            </w:r>
          </w:p>
        </w:tc>
      </w:tr>
      <w:tr w:rsidR="004E3885" w:rsidRPr="0000085E" w14:paraId="3D2C2E10" w14:textId="77777777" w:rsidTr="004F4C7C">
        <w:trPr>
          <w:trHeight w:val="300"/>
          <w:jc w:val="center"/>
        </w:trPr>
        <w:tc>
          <w:tcPr>
            <w:tcW w:w="2417" w:type="dxa"/>
            <w:noWrap/>
            <w:hideMark/>
          </w:tcPr>
          <w:p w14:paraId="0A396C4A" w14:textId="77777777" w:rsidR="004E3885" w:rsidRPr="0000085E" w:rsidRDefault="004E3885" w:rsidP="007A4368">
            <w:pPr>
              <w:spacing w:line="240" w:lineRule="auto"/>
              <w:rPr>
                <w:b/>
                <w:color w:val="000000"/>
              </w:rPr>
            </w:pPr>
            <w:r w:rsidRPr="0000085E">
              <w:rPr>
                <w:color w:val="000000"/>
              </w:rPr>
              <w:t>Tecuala</w:t>
            </w:r>
          </w:p>
        </w:tc>
        <w:tc>
          <w:tcPr>
            <w:tcW w:w="1390" w:type="dxa"/>
            <w:noWrap/>
            <w:hideMark/>
          </w:tcPr>
          <w:p w14:paraId="57FBFE7D" w14:textId="77777777" w:rsidR="004E3885" w:rsidRPr="0000085E" w:rsidRDefault="004E3885" w:rsidP="007A4368">
            <w:pPr>
              <w:spacing w:line="240" w:lineRule="auto"/>
              <w:jc w:val="center"/>
              <w:rPr>
                <w:color w:val="000000"/>
              </w:rPr>
            </w:pPr>
            <w:r w:rsidRPr="0000085E">
              <w:rPr>
                <w:color w:val="000000"/>
              </w:rPr>
              <w:t>0.12</w:t>
            </w:r>
          </w:p>
        </w:tc>
        <w:tc>
          <w:tcPr>
            <w:tcW w:w="1391" w:type="dxa"/>
            <w:noWrap/>
            <w:hideMark/>
          </w:tcPr>
          <w:p w14:paraId="795EF6AB" w14:textId="77777777" w:rsidR="004E3885" w:rsidRPr="0000085E" w:rsidRDefault="004E3885" w:rsidP="007A4368">
            <w:pPr>
              <w:spacing w:line="240" w:lineRule="auto"/>
              <w:jc w:val="center"/>
              <w:rPr>
                <w:color w:val="000000"/>
              </w:rPr>
            </w:pPr>
            <w:r w:rsidRPr="0000085E">
              <w:rPr>
                <w:color w:val="000000"/>
              </w:rPr>
              <w:t>0.52</w:t>
            </w:r>
          </w:p>
        </w:tc>
        <w:tc>
          <w:tcPr>
            <w:tcW w:w="1390" w:type="dxa"/>
            <w:noWrap/>
            <w:hideMark/>
          </w:tcPr>
          <w:p w14:paraId="4B2A0897" w14:textId="77777777" w:rsidR="004E3885" w:rsidRPr="0000085E" w:rsidRDefault="004E3885" w:rsidP="007A4368">
            <w:pPr>
              <w:spacing w:line="240" w:lineRule="auto"/>
              <w:jc w:val="center"/>
              <w:rPr>
                <w:color w:val="000000"/>
              </w:rPr>
            </w:pPr>
            <w:r w:rsidRPr="0000085E">
              <w:rPr>
                <w:color w:val="000000"/>
              </w:rPr>
              <w:t>0.27</w:t>
            </w:r>
          </w:p>
        </w:tc>
        <w:tc>
          <w:tcPr>
            <w:tcW w:w="1391" w:type="dxa"/>
            <w:noWrap/>
            <w:hideMark/>
          </w:tcPr>
          <w:p w14:paraId="2698561C" w14:textId="77777777" w:rsidR="004E3885" w:rsidRPr="0000085E" w:rsidRDefault="004E3885" w:rsidP="007A4368">
            <w:pPr>
              <w:spacing w:line="240" w:lineRule="auto"/>
              <w:jc w:val="center"/>
              <w:rPr>
                <w:color w:val="000000"/>
              </w:rPr>
            </w:pPr>
            <w:r w:rsidRPr="0000085E">
              <w:rPr>
                <w:color w:val="000000"/>
              </w:rPr>
              <w:t>0.22</w:t>
            </w:r>
          </w:p>
        </w:tc>
      </w:tr>
      <w:tr w:rsidR="004E3885" w:rsidRPr="0000085E" w14:paraId="239BB8EE" w14:textId="77777777" w:rsidTr="004F4C7C">
        <w:trPr>
          <w:trHeight w:val="300"/>
          <w:jc w:val="center"/>
        </w:trPr>
        <w:tc>
          <w:tcPr>
            <w:tcW w:w="2417" w:type="dxa"/>
            <w:noWrap/>
            <w:hideMark/>
          </w:tcPr>
          <w:p w14:paraId="62EFF700" w14:textId="77777777" w:rsidR="004E3885" w:rsidRPr="0000085E" w:rsidRDefault="004E3885" w:rsidP="007A4368">
            <w:pPr>
              <w:spacing w:line="240" w:lineRule="auto"/>
              <w:rPr>
                <w:b/>
                <w:color w:val="000000"/>
              </w:rPr>
            </w:pPr>
            <w:r w:rsidRPr="0000085E">
              <w:rPr>
                <w:color w:val="000000"/>
              </w:rPr>
              <w:t>Tuxpan</w:t>
            </w:r>
          </w:p>
        </w:tc>
        <w:tc>
          <w:tcPr>
            <w:tcW w:w="1390" w:type="dxa"/>
            <w:noWrap/>
            <w:hideMark/>
          </w:tcPr>
          <w:p w14:paraId="2AE39703" w14:textId="77777777" w:rsidR="004E3885" w:rsidRPr="0000085E" w:rsidRDefault="004E3885" w:rsidP="007A4368">
            <w:pPr>
              <w:spacing w:line="240" w:lineRule="auto"/>
              <w:jc w:val="center"/>
              <w:rPr>
                <w:color w:val="000000"/>
              </w:rPr>
            </w:pPr>
            <w:r w:rsidRPr="0000085E">
              <w:rPr>
                <w:color w:val="000000"/>
              </w:rPr>
              <w:t>0.62</w:t>
            </w:r>
          </w:p>
        </w:tc>
        <w:tc>
          <w:tcPr>
            <w:tcW w:w="1391" w:type="dxa"/>
            <w:noWrap/>
            <w:hideMark/>
          </w:tcPr>
          <w:p w14:paraId="78252A06" w14:textId="77777777" w:rsidR="004E3885" w:rsidRPr="0000085E" w:rsidRDefault="004E3885" w:rsidP="007A4368">
            <w:pPr>
              <w:spacing w:line="240" w:lineRule="auto"/>
              <w:jc w:val="center"/>
              <w:rPr>
                <w:color w:val="000000"/>
              </w:rPr>
            </w:pPr>
            <w:r w:rsidRPr="0000085E">
              <w:rPr>
                <w:color w:val="000000"/>
              </w:rPr>
              <w:t>-0.46</w:t>
            </w:r>
          </w:p>
        </w:tc>
        <w:tc>
          <w:tcPr>
            <w:tcW w:w="1390" w:type="dxa"/>
            <w:noWrap/>
            <w:hideMark/>
          </w:tcPr>
          <w:p w14:paraId="44CA2383" w14:textId="77777777" w:rsidR="004E3885" w:rsidRPr="0000085E" w:rsidRDefault="004E3885" w:rsidP="007A4368">
            <w:pPr>
              <w:spacing w:line="240" w:lineRule="auto"/>
              <w:jc w:val="center"/>
              <w:rPr>
                <w:color w:val="000000"/>
              </w:rPr>
            </w:pPr>
            <w:r w:rsidRPr="0000085E">
              <w:rPr>
                <w:color w:val="000000"/>
              </w:rPr>
              <w:t>1.12</w:t>
            </w:r>
          </w:p>
        </w:tc>
        <w:tc>
          <w:tcPr>
            <w:tcW w:w="1391" w:type="dxa"/>
            <w:noWrap/>
            <w:hideMark/>
          </w:tcPr>
          <w:p w14:paraId="19C131AF" w14:textId="77777777" w:rsidR="004E3885" w:rsidRPr="0000085E" w:rsidRDefault="004E3885" w:rsidP="007A4368">
            <w:pPr>
              <w:spacing w:line="240" w:lineRule="auto"/>
              <w:jc w:val="center"/>
              <w:rPr>
                <w:color w:val="000000"/>
              </w:rPr>
            </w:pPr>
            <w:r w:rsidRPr="0000085E">
              <w:rPr>
                <w:color w:val="000000"/>
              </w:rPr>
              <w:t>0.01</w:t>
            </w:r>
          </w:p>
        </w:tc>
      </w:tr>
      <w:tr w:rsidR="004E3885" w:rsidRPr="0000085E" w14:paraId="7BBC8145" w14:textId="77777777" w:rsidTr="004F4C7C">
        <w:trPr>
          <w:trHeight w:val="300"/>
          <w:jc w:val="center"/>
        </w:trPr>
        <w:tc>
          <w:tcPr>
            <w:tcW w:w="2417" w:type="dxa"/>
            <w:noWrap/>
            <w:hideMark/>
          </w:tcPr>
          <w:p w14:paraId="28123856" w14:textId="77777777" w:rsidR="004E3885" w:rsidRPr="0000085E" w:rsidRDefault="004E3885" w:rsidP="007A4368">
            <w:pPr>
              <w:spacing w:line="240" w:lineRule="auto"/>
              <w:rPr>
                <w:b/>
                <w:color w:val="000000"/>
              </w:rPr>
            </w:pPr>
            <w:r w:rsidRPr="0000085E">
              <w:rPr>
                <w:color w:val="000000"/>
              </w:rPr>
              <w:t>Compostela</w:t>
            </w:r>
          </w:p>
        </w:tc>
        <w:tc>
          <w:tcPr>
            <w:tcW w:w="1390" w:type="dxa"/>
            <w:noWrap/>
            <w:hideMark/>
          </w:tcPr>
          <w:p w14:paraId="5E0805B8" w14:textId="77777777" w:rsidR="004E3885" w:rsidRPr="0000085E" w:rsidRDefault="004E3885" w:rsidP="007A4368">
            <w:pPr>
              <w:spacing w:line="240" w:lineRule="auto"/>
              <w:jc w:val="center"/>
              <w:rPr>
                <w:color w:val="000000"/>
              </w:rPr>
            </w:pPr>
            <w:r w:rsidRPr="0000085E">
              <w:rPr>
                <w:color w:val="000000"/>
              </w:rPr>
              <w:t>0.36</w:t>
            </w:r>
          </w:p>
        </w:tc>
        <w:tc>
          <w:tcPr>
            <w:tcW w:w="1391" w:type="dxa"/>
            <w:noWrap/>
            <w:hideMark/>
          </w:tcPr>
          <w:p w14:paraId="74D052CF" w14:textId="77777777" w:rsidR="004E3885" w:rsidRPr="0000085E" w:rsidRDefault="004E3885" w:rsidP="007A4368">
            <w:pPr>
              <w:spacing w:line="240" w:lineRule="auto"/>
              <w:jc w:val="center"/>
              <w:rPr>
                <w:color w:val="000000"/>
              </w:rPr>
            </w:pPr>
            <w:r w:rsidRPr="0000085E">
              <w:rPr>
                <w:color w:val="000000"/>
              </w:rPr>
              <w:t>0.05</w:t>
            </w:r>
          </w:p>
        </w:tc>
        <w:tc>
          <w:tcPr>
            <w:tcW w:w="1390" w:type="dxa"/>
            <w:noWrap/>
            <w:hideMark/>
          </w:tcPr>
          <w:p w14:paraId="7705CFC6" w14:textId="77777777" w:rsidR="004E3885" w:rsidRPr="0000085E" w:rsidRDefault="004E3885" w:rsidP="007A4368">
            <w:pPr>
              <w:spacing w:line="240" w:lineRule="auto"/>
              <w:jc w:val="center"/>
              <w:rPr>
                <w:color w:val="000000"/>
              </w:rPr>
            </w:pPr>
            <w:r w:rsidRPr="0000085E">
              <w:rPr>
                <w:color w:val="000000"/>
              </w:rPr>
              <w:t>-0.22</w:t>
            </w:r>
          </w:p>
        </w:tc>
        <w:tc>
          <w:tcPr>
            <w:tcW w:w="1391" w:type="dxa"/>
            <w:noWrap/>
            <w:hideMark/>
          </w:tcPr>
          <w:p w14:paraId="3500D372" w14:textId="77777777" w:rsidR="004E3885" w:rsidRPr="0000085E" w:rsidRDefault="004E3885" w:rsidP="007A4368">
            <w:pPr>
              <w:spacing w:line="240" w:lineRule="auto"/>
              <w:jc w:val="center"/>
              <w:rPr>
                <w:color w:val="000000"/>
              </w:rPr>
            </w:pPr>
            <w:r w:rsidRPr="0000085E">
              <w:rPr>
                <w:color w:val="000000"/>
              </w:rPr>
              <w:t>-0.18</w:t>
            </w:r>
          </w:p>
        </w:tc>
      </w:tr>
      <w:tr w:rsidR="004E3885" w:rsidRPr="0000085E" w14:paraId="38655959" w14:textId="77777777" w:rsidTr="004F4C7C">
        <w:trPr>
          <w:trHeight w:val="300"/>
          <w:jc w:val="center"/>
        </w:trPr>
        <w:tc>
          <w:tcPr>
            <w:tcW w:w="2417" w:type="dxa"/>
            <w:noWrap/>
            <w:hideMark/>
          </w:tcPr>
          <w:p w14:paraId="09B83180" w14:textId="77777777" w:rsidR="004E3885" w:rsidRPr="0000085E" w:rsidRDefault="004E3885" w:rsidP="007A4368">
            <w:pPr>
              <w:spacing w:line="240" w:lineRule="auto"/>
              <w:rPr>
                <w:b/>
                <w:color w:val="000000"/>
              </w:rPr>
            </w:pPr>
            <w:r w:rsidRPr="0000085E">
              <w:rPr>
                <w:color w:val="000000"/>
              </w:rPr>
              <w:t>Santiago Ixcuintla</w:t>
            </w:r>
          </w:p>
        </w:tc>
        <w:tc>
          <w:tcPr>
            <w:tcW w:w="1390" w:type="dxa"/>
            <w:noWrap/>
            <w:hideMark/>
          </w:tcPr>
          <w:p w14:paraId="7A4FB185" w14:textId="77777777" w:rsidR="004E3885" w:rsidRPr="0000085E" w:rsidRDefault="004E3885" w:rsidP="007A4368">
            <w:pPr>
              <w:spacing w:line="240" w:lineRule="auto"/>
              <w:jc w:val="center"/>
              <w:rPr>
                <w:color w:val="000000"/>
              </w:rPr>
            </w:pPr>
            <w:r w:rsidRPr="0000085E">
              <w:rPr>
                <w:color w:val="000000"/>
              </w:rPr>
              <w:t>0.23</w:t>
            </w:r>
          </w:p>
        </w:tc>
        <w:tc>
          <w:tcPr>
            <w:tcW w:w="1391" w:type="dxa"/>
            <w:noWrap/>
            <w:hideMark/>
          </w:tcPr>
          <w:p w14:paraId="5E5A3A18" w14:textId="77777777" w:rsidR="004E3885" w:rsidRPr="0000085E" w:rsidRDefault="004E3885" w:rsidP="007A4368">
            <w:pPr>
              <w:spacing w:line="240" w:lineRule="auto"/>
              <w:jc w:val="center"/>
              <w:rPr>
                <w:color w:val="000000"/>
              </w:rPr>
            </w:pPr>
            <w:r w:rsidRPr="0000085E">
              <w:rPr>
                <w:color w:val="000000"/>
              </w:rPr>
              <w:t>-0.03</w:t>
            </w:r>
          </w:p>
        </w:tc>
        <w:tc>
          <w:tcPr>
            <w:tcW w:w="1390" w:type="dxa"/>
            <w:noWrap/>
            <w:hideMark/>
          </w:tcPr>
          <w:p w14:paraId="46739172" w14:textId="77777777" w:rsidR="004E3885" w:rsidRPr="0000085E" w:rsidRDefault="004E3885" w:rsidP="007A4368">
            <w:pPr>
              <w:spacing w:line="240" w:lineRule="auto"/>
              <w:jc w:val="center"/>
              <w:rPr>
                <w:color w:val="000000"/>
              </w:rPr>
            </w:pPr>
            <w:r w:rsidRPr="0000085E">
              <w:rPr>
                <w:color w:val="000000"/>
              </w:rPr>
              <w:t>-0.40</w:t>
            </w:r>
          </w:p>
        </w:tc>
        <w:tc>
          <w:tcPr>
            <w:tcW w:w="1391" w:type="dxa"/>
            <w:noWrap/>
            <w:hideMark/>
          </w:tcPr>
          <w:p w14:paraId="5A9F9D60" w14:textId="77777777" w:rsidR="004E3885" w:rsidRPr="0000085E" w:rsidRDefault="004E3885" w:rsidP="007A4368">
            <w:pPr>
              <w:spacing w:line="240" w:lineRule="auto"/>
              <w:jc w:val="center"/>
              <w:rPr>
                <w:color w:val="000000"/>
              </w:rPr>
            </w:pPr>
            <w:r w:rsidRPr="0000085E">
              <w:rPr>
                <w:color w:val="000000"/>
              </w:rPr>
              <w:t>-0.22</w:t>
            </w:r>
          </w:p>
        </w:tc>
      </w:tr>
      <w:tr w:rsidR="004E3885" w:rsidRPr="0000085E" w14:paraId="79AE0F87" w14:textId="77777777" w:rsidTr="004F4C7C">
        <w:trPr>
          <w:trHeight w:val="300"/>
          <w:jc w:val="center"/>
        </w:trPr>
        <w:tc>
          <w:tcPr>
            <w:tcW w:w="2417" w:type="dxa"/>
            <w:noWrap/>
            <w:hideMark/>
          </w:tcPr>
          <w:p w14:paraId="23216D45" w14:textId="77777777" w:rsidR="004E3885" w:rsidRPr="0000085E" w:rsidRDefault="004E3885" w:rsidP="007A4368">
            <w:pPr>
              <w:spacing w:line="240" w:lineRule="auto"/>
              <w:rPr>
                <w:b/>
                <w:color w:val="000000"/>
              </w:rPr>
            </w:pPr>
            <w:r w:rsidRPr="0000085E">
              <w:rPr>
                <w:color w:val="000000"/>
              </w:rPr>
              <w:t>La Yesca</w:t>
            </w:r>
          </w:p>
        </w:tc>
        <w:tc>
          <w:tcPr>
            <w:tcW w:w="1390" w:type="dxa"/>
            <w:noWrap/>
            <w:hideMark/>
          </w:tcPr>
          <w:p w14:paraId="5469C3E9" w14:textId="77777777" w:rsidR="004E3885" w:rsidRPr="0000085E" w:rsidRDefault="004E3885" w:rsidP="007A4368">
            <w:pPr>
              <w:spacing w:line="240" w:lineRule="auto"/>
              <w:jc w:val="center"/>
              <w:rPr>
                <w:color w:val="000000"/>
              </w:rPr>
            </w:pPr>
            <w:r w:rsidRPr="0000085E">
              <w:rPr>
                <w:color w:val="000000"/>
              </w:rPr>
              <w:t>-1.30</w:t>
            </w:r>
          </w:p>
        </w:tc>
        <w:tc>
          <w:tcPr>
            <w:tcW w:w="1391" w:type="dxa"/>
            <w:noWrap/>
            <w:hideMark/>
          </w:tcPr>
          <w:p w14:paraId="788DA54C" w14:textId="77777777" w:rsidR="004E3885" w:rsidRPr="0000085E" w:rsidRDefault="004E3885" w:rsidP="007A4368">
            <w:pPr>
              <w:spacing w:line="240" w:lineRule="auto"/>
              <w:jc w:val="center"/>
              <w:rPr>
                <w:color w:val="000000"/>
              </w:rPr>
            </w:pPr>
            <w:r w:rsidRPr="0000085E">
              <w:rPr>
                <w:color w:val="000000"/>
              </w:rPr>
              <w:t>-0.54</w:t>
            </w:r>
          </w:p>
        </w:tc>
        <w:tc>
          <w:tcPr>
            <w:tcW w:w="1390" w:type="dxa"/>
            <w:noWrap/>
            <w:hideMark/>
          </w:tcPr>
          <w:p w14:paraId="6D0B44C6" w14:textId="77777777" w:rsidR="004E3885" w:rsidRPr="0000085E" w:rsidRDefault="004E3885" w:rsidP="007A4368">
            <w:pPr>
              <w:spacing w:line="240" w:lineRule="auto"/>
              <w:jc w:val="center"/>
              <w:rPr>
                <w:color w:val="000000"/>
              </w:rPr>
            </w:pPr>
            <w:r w:rsidRPr="0000085E">
              <w:rPr>
                <w:color w:val="000000"/>
              </w:rPr>
              <w:t>-1.48</w:t>
            </w:r>
          </w:p>
        </w:tc>
        <w:tc>
          <w:tcPr>
            <w:tcW w:w="1391" w:type="dxa"/>
            <w:noWrap/>
            <w:hideMark/>
          </w:tcPr>
          <w:p w14:paraId="645A5CFC" w14:textId="77777777" w:rsidR="004E3885" w:rsidRPr="0000085E" w:rsidRDefault="004E3885" w:rsidP="007A4368">
            <w:pPr>
              <w:spacing w:line="240" w:lineRule="auto"/>
              <w:jc w:val="center"/>
              <w:rPr>
                <w:color w:val="000000"/>
              </w:rPr>
            </w:pPr>
            <w:r w:rsidRPr="0000085E">
              <w:rPr>
                <w:color w:val="000000"/>
              </w:rPr>
              <w:t>-0.24</w:t>
            </w:r>
          </w:p>
        </w:tc>
      </w:tr>
      <w:tr w:rsidR="004E3885" w:rsidRPr="0000085E" w14:paraId="2686EF95" w14:textId="77777777" w:rsidTr="004F4C7C">
        <w:trPr>
          <w:trHeight w:val="300"/>
          <w:jc w:val="center"/>
        </w:trPr>
        <w:tc>
          <w:tcPr>
            <w:tcW w:w="2417" w:type="dxa"/>
            <w:noWrap/>
            <w:hideMark/>
          </w:tcPr>
          <w:p w14:paraId="2596A209" w14:textId="77777777" w:rsidR="004E3885" w:rsidRPr="0000085E" w:rsidRDefault="004E3885" w:rsidP="007A4368">
            <w:pPr>
              <w:spacing w:line="240" w:lineRule="auto"/>
              <w:rPr>
                <w:b/>
                <w:color w:val="000000"/>
              </w:rPr>
            </w:pPr>
            <w:r w:rsidRPr="0000085E">
              <w:rPr>
                <w:color w:val="000000"/>
              </w:rPr>
              <w:t>Santa María del Oro</w:t>
            </w:r>
          </w:p>
        </w:tc>
        <w:tc>
          <w:tcPr>
            <w:tcW w:w="1390" w:type="dxa"/>
            <w:noWrap/>
            <w:hideMark/>
          </w:tcPr>
          <w:p w14:paraId="1ED2EDA4" w14:textId="77777777" w:rsidR="004E3885" w:rsidRPr="0000085E" w:rsidRDefault="004E3885" w:rsidP="007A4368">
            <w:pPr>
              <w:spacing w:line="240" w:lineRule="auto"/>
              <w:jc w:val="center"/>
              <w:rPr>
                <w:color w:val="000000"/>
              </w:rPr>
            </w:pPr>
            <w:r w:rsidRPr="0000085E">
              <w:rPr>
                <w:color w:val="000000"/>
              </w:rPr>
              <w:t>0.07</w:t>
            </w:r>
          </w:p>
        </w:tc>
        <w:tc>
          <w:tcPr>
            <w:tcW w:w="1391" w:type="dxa"/>
            <w:noWrap/>
            <w:hideMark/>
          </w:tcPr>
          <w:p w14:paraId="1CF3732A" w14:textId="77777777" w:rsidR="004E3885" w:rsidRPr="0000085E" w:rsidRDefault="004E3885" w:rsidP="007A4368">
            <w:pPr>
              <w:spacing w:line="240" w:lineRule="auto"/>
              <w:jc w:val="center"/>
              <w:rPr>
                <w:color w:val="000000"/>
              </w:rPr>
            </w:pPr>
            <w:r w:rsidRPr="0000085E">
              <w:rPr>
                <w:color w:val="000000"/>
              </w:rPr>
              <w:t>-0.35</w:t>
            </w:r>
          </w:p>
        </w:tc>
        <w:tc>
          <w:tcPr>
            <w:tcW w:w="1390" w:type="dxa"/>
            <w:noWrap/>
            <w:hideMark/>
          </w:tcPr>
          <w:p w14:paraId="4295C9C8" w14:textId="77777777" w:rsidR="004E3885" w:rsidRPr="0000085E" w:rsidRDefault="004E3885" w:rsidP="007A4368">
            <w:pPr>
              <w:spacing w:line="240" w:lineRule="auto"/>
              <w:jc w:val="center"/>
              <w:rPr>
                <w:color w:val="000000"/>
              </w:rPr>
            </w:pPr>
            <w:r w:rsidRPr="0000085E">
              <w:rPr>
                <w:color w:val="000000"/>
              </w:rPr>
              <w:t>-0.43</w:t>
            </w:r>
          </w:p>
        </w:tc>
        <w:tc>
          <w:tcPr>
            <w:tcW w:w="1391" w:type="dxa"/>
            <w:noWrap/>
            <w:hideMark/>
          </w:tcPr>
          <w:p w14:paraId="076AC7FD" w14:textId="77777777" w:rsidR="004E3885" w:rsidRPr="0000085E" w:rsidRDefault="004E3885" w:rsidP="007A4368">
            <w:pPr>
              <w:spacing w:line="240" w:lineRule="auto"/>
              <w:jc w:val="center"/>
              <w:rPr>
                <w:color w:val="000000"/>
              </w:rPr>
            </w:pPr>
            <w:r w:rsidRPr="0000085E">
              <w:rPr>
                <w:color w:val="000000"/>
              </w:rPr>
              <w:t>-0.28</w:t>
            </w:r>
          </w:p>
        </w:tc>
      </w:tr>
      <w:tr w:rsidR="004E3885" w:rsidRPr="0000085E" w14:paraId="530738BE" w14:textId="77777777" w:rsidTr="004F4C7C">
        <w:trPr>
          <w:trHeight w:val="300"/>
          <w:jc w:val="center"/>
        </w:trPr>
        <w:tc>
          <w:tcPr>
            <w:tcW w:w="2417" w:type="dxa"/>
            <w:noWrap/>
            <w:hideMark/>
          </w:tcPr>
          <w:p w14:paraId="21A1E339" w14:textId="77777777" w:rsidR="004E3885" w:rsidRPr="0000085E" w:rsidRDefault="004E3885" w:rsidP="007A4368">
            <w:pPr>
              <w:spacing w:line="240" w:lineRule="auto"/>
              <w:rPr>
                <w:b/>
                <w:color w:val="000000"/>
              </w:rPr>
            </w:pPr>
            <w:r w:rsidRPr="0000085E">
              <w:rPr>
                <w:color w:val="000000"/>
              </w:rPr>
              <w:t>Ahuacatlán</w:t>
            </w:r>
          </w:p>
        </w:tc>
        <w:tc>
          <w:tcPr>
            <w:tcW w:w="1390" w:type="dxa"/>
            <w:noWrap/>
            <w:hideMark/>
          </w:tcPr>
          <w:p w14:paraId="5A96CF1B" w14:textId="77777777" w:rsidR="004E3885" w:rsidRPr="0000085E" w:rsidRDefault="004E3885" w:rsidP="007A4368">
            <w:pPr>
              <w:spacing w:line="240" w:lineRule="auto"/>
              <w:jc w:val="center"/>
              <w:rPr>
                <w:color w:val="000000"/>
              </w:rPr>
            </w:pPr>
            <w:r w:rsidRPr="0000085E">
              <w:rPr>
                <w:color w:val="000000"/>
              </w:rPr>
              <w:t>0.17</w:t>
            </w:r>
          </w:p>
        </w:tc>
        <w:tc>
          <w:tcPr>
            <w:tcW w:w="1391" w:type="dxa"/>
            <w:noWrap/>
            <w:hideMark/>
          </w:tcPr>
          <w:p w14:paraId="669430FF" w14:textId="77777777" w:rsidR="004E3885" w:rsidRPr="0000085E" w:rsidRDefault="004E3885" w:rsidP="007A4368">
            <w:pPr>
              <w:spacing w:line="240" w:lineRule="auto"/>
              <w:jc w:val="center"/>
              <w:rPr>
                <w:color w:val="000000"/>
              </w:rPr>
            </w:pPr>
            <w:r w:rsidRPr="0000085E">
              <w:rPr>
                <w:color w:val="000000"/>
              </w:rPr>
              <w:t>-0.66</w:t>
            </w:r>
          </w:p>
        </w:tc>
        <w:tc>
          <w:tcPr>
            <w:tcW w:w="1390" w:type="dxa"/>
            <w:noWrap/>
            <w:hideMark/>
          </w:tcPr>
          <w:p w14:paraId="5E289FF2" w14:textId="77777777" w:rsidR="004E3885" w:rsidRPr="0000085E" w:rsidRDefault="004E3885" w:rsidP="007A4368">
            <w:pPr>
              <w:spacing w:line="240" w:lineRule="auto"/>
              <w:jc w:val="center"/>
              <w:rPr>
                <w:color w:val="000000"/>
              </w:rPr>
            </w:pPr>
            <w:r w:rsidRPr="0000085E">
              <w:rPr>
                <w:color w:val="000000"/>
              </w:rPr>
              <w:t>-0.04</w:t>
            </w:r>
          </w:p>
        </w:tc>
        <w:tc>
          <w:tcPr>
            <w:tcW w:w="1391" w:type="dxa"/>
            <w:noWrap/>
            <w:hideMark/>
          </w:tcPr>
          <w:p w14:paraId="578CE3AD" w14:textId="77777777" w:rsidR="004E3885" w:rsidRPr="0000085E" w:rsidRDefault="004E3885" w:rsidP="007A4368">
            <w:pPr>
              <w:spacing w:line="240" w:lineRule="auto"/>
              <w:jc w:val="center"/>
              <w:rPr>
                <w:color w:val="000000"/>
              </w:rPr>
            </w:pPr>
            <w:r w:rsidRPr="0000085E">
              <w:rPr>
                <w:color w:val="000000"/>
              </w:rPr>
              <w:t>-0.29</w:t>
            </w:r>
          </w:p>
        </w:tc>
      </w:tr>
      <w:tr w:rsidR="004E3885" w:rsidRPr="0000085E" w14:paraId="3ABD843D" w14:textId="77777777" w:rsidTr="004F4C7C">
        <w:trPr>
          <w:trHeight w:val="300"/>
          <w:jc w:val="center"/>
        </w:trPr>
        <w:tc>
          <w:tcPr>
            <w:tcW w:w="2417" w:type="dxa"/>
            <w:noWrap/>
            <w:hideMark/>
          </w:tcPr>
          <w:p w14:paraId="5718A325" w14:textId="77777777" w:rsidR="004E3885" w:rsidRPr="0000085E" w:rsidRDefault="004E3885" w:rsidP="007A4368">
            <w:pPr>
              <w:spacing w:line="240" w:lineRule="auto"/>
              <w:rPr>
                <w:b/>
                <w:color w:val="000000"/>
              </w:rPr>
            </w:pPr>
            <w:r w:rsidRPr="0000085E">
              <w:rPr>
                <w:color w:val="000000"/>
              </w:rPr>
              <w:t>San Blas</w:t>
            </w:r>
          </w:p>
        </w:tc>
        <w:tc>
          <w:tcPr>
            <w:tcW w:w="1390" w:type="dxa"/>
            <w:noWrap/>
            <w:hideMark/>
          </w:tcPr>
          <w:p w14:paraId="67379F47" w14:textId="77777777" w:rsidR="004E3885" w:rsidRPr="0000085E" w:rsidRDefault="004E3885" w:rsidP="007A4368">
            <w:pPr>
              <w:spacing w:line="240" w:lineRule="auto"/>
              <w:jc w:val="center"/>
              <w:rPr>
                <w:color w:val="000000"/>
              </w:rPr>
            </w:pPr>
            <w:r w:rsidRPr="0000085E">
              <w:rPr>
                <w:color w:val="000000"/>
              </w:rPr>
              <w:t>0.76</w:t>
            </w:r>
          </w:p>
        </w:tc>
        <w:tc>
          <w:tcPr>
            <w:tcW w:w="1391" w:type="dxa"/>
            <w:noWrap/>
            <w:hideMark/>
          </w:tcPr>
          <w:p w14:paraId="5BE642A7" w14:textId="77777777" w:rsidR="004E3885" w:rsidRPr="0000085E" w:rsidRDefault="004E3885" w:rsidP="007A4368">
            <w:pPr>
              <w:spacing w:line="240" w:lineRule="auto"/>
              <w:jc w:val="center"/>
              <w:rPr>
                <w:color w:val="000000"/>
              </w:rPr>
            </w:pPr>
            <w:r w:rsidRPr="0000085E">
              <w:rPr>
                <w:color w:val="000000"/>
              </w:rPr>
              <w:t>-0.27</w:t>
            </w:r>
          </w:p>
        </w:tc>
        <w:tc>
          <w:tcPr>
            <w:tcW w:w="1390" w:type="dxa"/>
            <w:noWrap/>
            <w:hideMark/>
          </w:tcPr>
          <w:p w14:paraId="2B97F508" w14:textId="77777777" w:rsidR="004E3885" w:rsidRPr="0000085E" w:rsidRDefault="004E3885" w:rsidP="007A4368">
            <w:pPr>
              <w:spacing w:line="240" w:lineRule="auto"/>
              <w:jc w:val="center"/>
              <w:rPr>
                <w:color w:val="000000"/>
              </w:rPr>
            </w:pPr>
            <w:r w:rsidRPr="0000085E">
              <w:rPr>
                <w:color w:val="000000"/>
              </w:rPr>
              <w:t>0.16</w:t>
            </w:r>
          </w:p>
        </w:tc>
        <w:tc>
          <w:tcPr>
            <w:tcW w:w="1391" w:type="dxa"/>
            <w:noWrap/>
            <w:hideMark/>
          </w:tcPr>
          <w:p w14:paraId="7FA0111D" w14:textId="77777777" w:rsidR="004E3885" w:rsidRPr="0000085E" w:rsidRDefault="004E3885" w:rsidP="007A4368">
            <w:pPr>
              <w:spacing w:line="240" w:lineRule="auto"/>
              <w:jc w:val="center"/>
              <w:rPr>
                <w:color w:val="000000"/>
              </w:rPr>
            </w:pPr>
            <w:r w:rsidRPr="0000085E">
              <w:rPr>
                <w:color w:val="000000"/>
              </w:rPr>
              <w:t>-0.29</w:t>
            </w:r>
          </w:p>
        </w:tc>
      </w:tr>
      <w:tr w:rsidR="004E3885" w:rsidRPr="0000085E" w14:paraId="26F6E786" w14:textId="77777777" w:rsidTr="004F4C7C">
        <w:trPr>
          <w:trHeight w:val="300"/>
          <w:jc w:val="center"/>
        </w:trPr>
        <w:tc>
          <w:tcPr>
            <w:tcW w:w="2417" w:type="dxa"/>
            <w:noWrap/>
            <w:hideMark/>
          </w:tcPr>
          <w:p w14:paraId="1386F7FF" w14:textId="77777777" w:rsidR="004E3885" w:rsidRPr="0000085E" w:rsidRDefault="004E3885" w:rsidP="007A4368">
            <w:pPr>
              <w:spacing w:line="240" w:lineRule="auto"/>
              <w:rPr>
                <w:b/>
                <w:color w:val="000000"/>
              </w:rPr>
            </w:pPr>
            <w:r w:rsidRPr="0000085E">
              <w:rPr>
                <w:color w:val="000000"/>
              </w:rPr>
              <w:t>Ixtlán del Río</w:t>
            </w:r>
          </w:p>
        </w:tc>
        <w:tc>
          <w:tcPr>
            <w:tcW w:w="1390" w:type="dxa"/>
            <w:noWrap/>
            <w:hideMark/>
          </w:tcPr>
          <w:p w14:paraId="3BE4B154" w14:textId="77777777" w:rsidR="004E3885" w:rsidRPr="0000085E" w:rsidRDefault="004E3885" w:rsidP="007A4368">
            <w:pPr>
              <w:spacing w:line="240" w:lineRule="auto"/>
              <w:jc w:val="center"/>
              <w:rPr>
                <w:color w:val="000000"/>
              </w:rPr>
            </w:pPr>
            <w:r w:rsidRPr="0000085E">
              <w:rPr>
                <w:color w:val="000000"/>
              </w:rPr>
              <w:t>0.48</w:t>
            </w:r>
          </w:p>
        </w:tc>
        <w:tc>
          <w:tcPr>
            <w:tcW w:w="1391" w:type="dxa"/>
            <w:noWrap/>
            <w:hideMark/>
          </w:tcPr>
          <w:p w14:paraId="4F73A620" w14:textId="77777777" w:rsidR="004E3885" w:rsidRPr="0000085E" w:rsidRDefault="004E3885" w:rsidP="007A4368">
            <w:pPr>
              <w:spacing w:line="240" w:lineRule="auto"/>
              <w:jc w:val="center"/>
              <w:rPr>
                <w:color w:val="000000"/>
              </w:rPr>
            </w:pPr>
            <w:r w:rsidRPr="0000085E">
              <w:rPr>
                <w:color w:val="000000"/>
              </w:rPr>
              <w:t>0.59</w:t>
            </w:r>
          </w:p>
        </w:tc>
        <w:tc>
          <w:tcPr>
            <w:tcW w:w="1390" w:type="dxa"/>
            <w:noWrap/>
            <w:hideMark/>
          </w:tcPr>
          <w:p w14:paraId="22B905D3" w14:textId="77777777" w:rsidR="004E3885" w:rsidRPr="0000085E" w:rsidRDefault="004E3885" w:rsidP="007A4368">
            <w:pPr>
              <w:spacing w:line="240" w:lineRule="auto"/>
              <w:jc w:val="center"/>
              <w:rPr>
                <w:color w:val="000000"/>
              </w:rPr>
            </w:pPr>
            <w:r w:rsidRPr="0000085E">
              <w:rPr>
                <w:color w:val="000000"/>
              </w:rPr>
              <w:t>-1.51</w:t>
            </w:r>
          </w:p>
        </w:tc>
        <w:tc>
          <w:tcPr>
            <w:tcW w:w="1391" w:type="dxa"/>
            <w:noWrap/>
            <w:hideMark/>
          </w:tcPr>
          <w:p w14:paraId="2F212E38" w14:textId="77777777" w:rsidR="004E3885" w:rsidRPr="0000085E" w:rsidRDefault="004E3885" w:rsidP="007A4368">
            <w:pPr>
              <w:spacing w:line="240" w:lineRule="auto"/>
              <w:jc w:val="center"/>
              <w:rPr>
                <w:color w:val="000000"/>
              </w:rPr>
            </w:pPr>
            <w:r w:rsidRPr="0000085E">
              <w:rPr>
                <w:color w:val="000000"/>
              </w:rPr>
              <w:t>-0.47</w:t>
            </w:r>
          </w:p>
        </w:tc>
      </w:tr>
      <w:tr w:rsidR="004E3885" w:rsidRPr="0000085E" w14:paraId="300F36CF" w14:textId="77777777" w:rsidTr="004F4C7C">
        <w:trPr>
          <w:trHeight w:val="300"/>
          <w:jc w:val="center"/>
        </w:trPr>
        <w:tc>
          <w:tcPr>
            <w:tcW w:w="2417" w:type="dxa"/>
            <w:noWrap/>
            <w:hideMark/>
          </w:tcPr>
          <w:p w14:paraId="691CB69A" w14:textId="77777777" w:rsidR="004E3885" w:rsidRPr="0000085E" w:rsidRDefault="004E3885" w:rsidP="007A4368">
            <w:pPr>
              <w:spacing w:line="240" w:lineRule="auto"/>
              <w:rPr>
                <w:b/>
                <w:color w:val="000000"/>
              </w:rPr>
            </w:pPr>
            <w:r w:rsidRPr="0000085E">
              <w:rPr>
                <w:color w:val="000000"/>
              </w:rPr>
              <w:t>Bahía de Banderas</w:t>
            </w:r>
          </w:p>
        </w:tc>
        <w:tc>
          <w:tcPr>
            <w:tcW w:w="1390" w:type="dxa"/>
            <w:noWrap/>
            <w:hideMark/>
          </w:tcPr>
          <w:p w14:paraId="0D961142" w14:textId="77777777" w:rsidR="004E3885" w:rsidRPr="0000085E" w:rsidRDefault="004E3885" w:rsidP="007A4368">
            <w:pPr>
              <w:spacing w:line="240" w:lineRule="auto"/>
              <w:jc w:val="center"/>
              <w:rPr>
                <w:color w:val="000000"/>
              </w:rPr>
            </w:pPr>
            <w:r w:rsidRPr="0000085E">
              <w:rPr>
                <w:color w:val="000000"/>
              </w:rPr>
              <w:t>0.97</w:t>
            </w:r>
          </w:p>
        </w:tc>
        <w:tc>
          <w:tcPr>
            <w:tcW w:w="1391" w:type="dxa"/>
            <w:noWrap/>
            <w:hideMark/>
          </w:tcPr>
          <w:p w14:paraId="5120C640" w14:textId="77777777" w:rsidR="004E3885" w:rsidRPr="0000085E" w:rsidRDefault="004E3885" w:rsidP="007A4368">
            <w:pPr>
              <w:spacing w:line="240" w:lineRule="auto"/>
              <w:jc w:val="center"/>
              <w:rPr>
                <w:color w:val="000000"/>
              </w:rPr>
            </w:pPr>
            <w:r w:rsidRPr="0000085E">
              <w:rPr>
                <w:color w:val="000000"/>
              </w:rPr>
              <w:t>0.01</w:t>
            </w:r>
          </w:p>
        </w:tc>
        <w:tc>
          <w:tcPr>
            <w:tcW w:w="1390" w:type="dxa"/>
            <w:noWrap/>
            <w:hideMark/>
          </w:tcPr>
          <w:p w14:paraId="716264B5" w14:textId="77777777" w:rsidR="004E3885" w:rsidRPr="0000085E" w:rsidRDefault="004E3885" w:rsidP="007A4368">
            <w:pPr>
              <w:spacing w:line="240" w:lineRule="auto"/>
              <w:jc w:val="center"/>
              <w:rPr>
                <w:color w:val="000000"/>
              </w:rPr>
            </w:pPr>
            <w:r w:rsidRPr="0000085E">
              <w:rPr>
                <w:color w:val="000000"/>
              </w:rPr>
              <w:t>-0.47</w:t>
            </w:r>
          </w:p>
        </w:tc>
        <w:tc>
          <w:tcPr>
            <w:tcW w:w="1391" w:type="dxa"/>
            <w:noWrap/>
            <w:hideMark/>
          </w:tcPr>
          <w:p w14:paraId="66BE5D53" w14:textId="77777777" w:rsidR="004E3885" w:rsidRPr="0000085E" w:rsidRDefault="004E3885" w:rsidP="007A4368">
            <w:pPr>
              <w:spacing w:line="240" w:lineRule="auto"/>
              <w:jc w:val="center"/>
              <w:rPr>
                <w:color w:val="000000"/>
              </w:rPr>
            </w:pPr>
            <w:r w:rsidRPr="0000085E">
              <w:rPr>
                <w:color w:val="000000"/>
              </w:rPr>
              <w:t>-0.48</w:t>
            </w:r>
          </w:p>
        </w:tc>
      </w:tr>
      <w:tr w:rsidR="004E3885" w:rsidRPr="0000085E" w14:paraId="336F0CE2" w14:textId="77777777" w:rsidTr="004F4C7C">
        <w:trPr>
          <w:trHeight w:val="300"/>
          <w:jc w:val="center"/>
        </w:trPr>
        <w:tc>
          <w:tcPr>
            <w:tcW w:w="2417" w:type="dxa"/>
            <w:noWrap/>
            <w:hideMark/>
          </w:tcPr>
          <w:p w14:paraId="52B66E20" w14:textId="77777777" w:rsidR="004E3885" w:rsidRPr="0000085E" w:rsidRDefault="004E3885" w:rsidP="007A4368">
            <w:pPr>
              <w:spacing w:line="240" w:lineRule="auto"/>
              <w:rPr>
                <w:b/>
                <w:color w:val="000000"/>
              </w:rPr>
            </w:pPr>
            <w:r w:rsidRPr="0000085E">
              <w:rPr>
                <w:color w:val="000000"/>
              </w:rPr>
              <w:t>San Pedro Lagunillas</w:t>
            </w:r>
          </w:p>
        </w:tc>
        <w:tc>
          <w:tcPr>
            <w:tcW w:w="1390" w:type="dxa"/>
            <w:noWrap/>
            <w:hideMark/>
          </w:tcPr>
          <w:p w14:paraId="3BABB40B" w14:textId="77777777" w:rsidR="004E3885" w:rsidRPr="0000085E" w:rsidRDefault="004E3885" w:rsidP="007A4368">
            <w:pPr>
              <w:spacing w:line="240" w:lineRule="auto"/>
              <w:jc w:val="center"/>
              <w:rPr>
                <w:color w:val="000000"/>
              </w:rPr>
            </w:pPr>
            <w:r w:rsidRPr="0000085E">
              <w:rPr>
                <w:color w:val="000000"/>
              </w:rPr>
              <w:t>0.14</w:t>
            </w:r>
          </w:p>
        </w:tc>
        <w:tc>
          <w:tcPr>
            <w:tcW w:w="1391" w:type="dxa"/>
            <w:noWrap/>
            <w:hideMark/>
          </w:tcPr>
          <w:p w14:paraId="4526CB7C" w14:textId="77777777" w:rsidR="004E3885" w:rsidRPr="0000085E" w:rsidRDefault="004E3885" w:rsidP="007A4368">
            <w:pPr>
              <w:spacing w:line="240" w:lineRule="auto"/>
              <w:jc w:val="center"/>
              <w:rPr>
                <w:color w:val="000000"/>
              </w:rPr>
            </w:pPr>
            <w:r w:rsidRPr="0000085E">
              <w:rPr>
                <w:color w:val="000000"/>
              </w:rPr>
              <w:t>-1.15</w:t>
            </w:r>
          </w:p>
        </w:tc>
        <w:tc>
          <w:tcPr>
            <w:tcW w:w="1390" w:type="dxa"/>
            <w:noWrap/>
            <w:hideMark/>
          </w:tcPr>
          <w:p w14:paraId="7C592471" w14:textId="77777777" w:rsidR="004E3885" w:rsidRPr="0000085E" w:rsidRDefault="004E3885" w:rsidP="007A4368">
            <w:pPr>
              <w:spacing w:line="240" w:lineRule="auto"/>
              <w:jc w:val="center"/>
              <w:rPr>
                <w:color w:val="000000"/>
              </w:rPr>
            </w:pPr>
            <w:r w:rsidRPr="0000085E">
              <w:rPr>
                <w:color w:val="000000"/>
              </w:rPr>
              <w:t>-0.16</w:t>
            </w:r>
          </w:p>
        </w:tc>
        <w:tc>
          <w:tcPr>
            <w:tcW w:w="1391" w:type="dxa"/>
            <w:noWrap/>
            <w:hideMark/>
          </w:tcPr>
          <w:p w14:paraId="02D7FF70" w14:textId="77777777" w:rsidR="004E3885" w:rsidRPr="0000085E" w:rsidRDefault="004E3885" w:rsidP="007A4368">
            <w:pPr>
              <w:spacing w:line="240" w:lineRule="auto"/>
              <w:jc w:val="center"/>
              <w:rPr>
                <w:color w:val="000000"/>
              </w:rPr>
            </w:pPr>
            <w:r w:rsidRPr="0000085E">
              <w:rPr>
                <w:color w:val="000000"/>
              </w:rPr>
              <w:t>-0.48</w:t>
            </w:r>
          </w:p>
        </w:tc>
      </w:tr>
      <w:tr w:rsidR="004E3885" w:rsidRPr="0000085E" w14:paraId="46EC53F1" w14:textId="77777777" w:rsidTr="004F4C7C">
        <w:trPr>
          <w:trHeight w:val="300"/>
          <w:jc w:val="center"/>
        </w:trPr>
        <w:tc>
          <w:tcPr>
            <w:tcW w:w="2417" w:type="dxa"/>
            <w:noWrap/>
            <w:hideMark/>
          </w:tcPr>
          <w:p w14:paraId="464DFF7D" w14:textId="77777777" w:rsidR="004E3885" w:rsidRPr="0000085E" w:rsidRDefault="004E3885" w:rsidP="007A4368">
            <w:pPr>
              <w:spacing w:line="240" w:lineRule="auto"/>
              <w:rPr>
                <w:b/>
                <w:color w:val="000000"/>
              </w:rPr>
            </w:pPr>
            <w:r w:rsidRPr="0000085E">
              <w:rPr>
                <w:color w:val="000000"/>
              </w:rPr>
              <w:t>Tepic</w:t>
            </w:r>
          </w:p>
        </w:tc>
        <w:tc>
          <w:tcPr>
            <w:tcW w:w="1390" w:type="dxa"/>
            <w:noWrap/>
            <w:hideMark/>
          </w:tcPr>
          <w:p w14:paraId="394F3088" w14:textId="77777777" w:rsidR="004E3885" w:rsidRPr="0000085E" w:rsidRDefault="004E3885" w:rsidP="007A4368">
            <w:pPr>
              <w:spacing w:line="240" w:lineRule="auto"/>
              <w:jc w:val="center"/>
              <w:rPr>
                <w:color w:val="000000"/>
              </w:rPr>
            </w:pPr>
            <w:r w:rsidRPr="0000085E">
              <w:rPr>
                <w:color w:val="000000"/>
              </w:rPr>
              <w:t>1.08</w:t>
            </w:r>
          </w:p>
        </w:tc>
        <w:tc>
          <w:tcPr>
            <w:tcW w:w="1391" w:type="dxa"/>
            <w:noWrap/>
            <w:hideMark/>
          </w:tcPr>
          <w:p w14:paraId="2E05AE3E" w14:textId="77777777" w:rsidR="004E3885" w:rsidRPr="0000085E" w:rsidRDefault="004E3885" w:rsidP="007A4368">
            <w:pPr>
              <w:spacing w:line="240" w:lineRule="auto"/>
              <w:jc w:val="center"/>
              <w:rPr>
                <w:color w:val="000000"/>
              </w:rPr>
            </w:pPr>
            <w:r w:rsidRPr="0000085E">
              <w:rPr>
                <w:color w:val="000000"/>
              </w:rPr>
              <w:t>-0.27</w:t>
            </w:r>
          </w:p>
        </w:tc>
        <w:tc>
          <w:tcPr>
            <w:tcW w:w="1390" w:type="dxa"/>
            <w:noWrap/>
            <w:hideMark/>
          </w:tcPr>
          <w:p w14:paraId="2AFA5C63" w14:textId="77777777" w:rsidR="004E3885" w:rsidRPr="0000085E" w:rsidRDefault="004E3885" w:rsidP="007A4368">
            <w:pPr>
              <w:spacing w:line="240" w:lineRule="auto"/>
              <w:jc w:val="center"/>
              <w:rPr>
                <w:color w:val="000000"/>
              </w:rPr>
            </w:pPr>
            <w:r w:rsidRPr="0000085E">
              <w:rPr>
                <w:color w:val="000000"/>
              </w:rPr>
              <w:t>-0.20</w:t>
            </w:r>
          </w:p>
        </w:tc>
        <w:tc>
          <w:tcPr>
            <w:tcW w:w="1391" w:type="dxa"/>
            <w:noWrap/>
            <w:hideMark/>
          </w:tcPr>
          <w:p w14:paraId="61B70FF7" w14:textId="77777777" w:rsidR="004E3885" w:rsidRPr="0000085E" w:rsidRDefault="004E3885" w:rsidP="007A4368">
            <w:pPr>
              <w:spacing w:line="240" w:lineRule="auto"/>
              <w:jc w:val="center"/>
              <w:rPr>
                <w:color w:val="000000"/>
              </w:rPr>
            </w:pPr>
            <w:r w:rsidRPr="0000085E">
              <w:rPr>
                <w:color w:val="000000"/>
              </w:rPr>
              <w:t>-0.52</w:t>
            </w:r>
          </w:p>
        </w:tc>
      </w:tr>
      <w:tr w:rsidR="004E3885" w:rsidRPr="0000085E" w14:paraId="70DD4D74" w14:textId="77777777" w:rsidTr="004F4C7C">
        <w:trPr>
          <w:trHeight w:val="300"/>
          <w:jc w:val="center"/>
        </w:trPr>
        <w:tc>
          <w:tcPr>
            <w:tcW w:w="2417" w:type="dxa"/>
            <w:noWrap/>
            <w:hideMark/>
          </w:tcPr>
          <w:p w14:paraId="735D1CE3" w14:textId="77777777" w:rsidR="004E3885" w:rsidRPr="0000085E" w:rsidRDefault="004E3885" w:rsidP="007A4368">
            <w:pPr>
              <w:spacing w:line="240" w:lineRule="auto"/>
              <w:rPr>
                <w:b/>
                <w:color w:val="000000"/>
              </w:rPr>
            </w:pPr>
            <w:r w:rsidRPr="0000085E">
              <w:rPr>
                <w:color w:val="000000"/>
              </w:rPr>
              <w:t>Amatlán de Cañas</w:t>
            </w:r>
          </w:p>
        </w:tc>
        <w:tc>
          <w:tcPr>
            <w:tcW w:w="1390" w:type="dxa"/>
            <w:noWrap/>
            <w:hideMark/>
          </w:tcPr>
          <w:p w14:paraId="562A3696" w14:textId="77777777" w:rsidR="004E3885" w:rsidRPr="0000085E" w:rsidRDefault="004E3885" w:rsidP="007A4368">
            <w:pPr>
              <w:spacing w:line="240" w:lineRule="auto"/>
              <w:jc w:val="center"/>
              <w:rPr>
                <w:color w:val="000000"/>
              </w:rPr>
            </w:pPr>
            <w:r w:rsidRPr="0000085E">
              <w:rPr>
                <w:color w:val="000000"/>
              </w:rPr>
              <w:t>0.08</w:t>
            </w:r>
          </w:p>
        </w:tc>
        <w:tc>
          <w:tcPr>
            <w:tcW w:w="1391" w:type="dxa"/>
            <w:noWrap/>
            <w:hideMark/>
          </w:tcPr>
          <w:p w14:paraId="2C7CF794" w14:textId="77777777" w:rsidR="004E3885" w:rsidRPr="0000085E" w:rsidRDefault="004E3885" w:rsidP="007A4368">
            <w:pPr>
              <w:spacing w:line="240" w:lineRule="auto"/>
              <w:jc w:val="center"/>
              <w:rPr>
                <w:color w:val="000000"/>
              </w:rPr>
            </w:pPr>
            <w:r w:rsidRPr="0000085E">
              <w:rPr>
                <w:color w:val="000000"/>
              </w:rPr>
              <w:t>-1.25</w:t>
            </w:r>
          </w:p>
        </w:tc>
        <w:tc>
          <w:tcPr>
            <w:tcW w:w="1390" w:type="dxa"/>
            <w:noWrap/>
            <w:hideMark/>
          </w:tcPr>
          <w:p w14:paraId="5132AF7F" w14:textId="77777777" w:rsidR="004E3885" w:rsidRPr="0000085E" w:rsidRDefault="004E3885" w:rsidP="007A4368">
            <w:pPr>
              <w:spacing w:line="240" w:lineRule="auto"/>
              <w:jc w:val="center"/>
              <w:rPr>
                <w:color w:val="000000"/>
              </w:rPr>
            </w:pPr>
            <w:r w:rsidRPr="0000085E">
              <w:rPr>
                <w:color w:val="000000"/>
              </w:rPr>
              <w:t>-1.33</w:t>
            </w:r>
          </w:p>
        </w:tc>
        <w:tc>
          <w:tcPr>
            <w:tcW w:w="1391" w:type="dxa"/>
            <w:noWrap/>
            <w:hideMark/>
          </w:tcPr>
          <w:p w14:paraId="208386F6" w14:textId="77777777" w:rsidR="004E3885" w:rsidRPr="0000085E" w:rsidRDefault="004E3885" w:rsidP="007A4368">
            <w:pPr>
              <w:spacing w:line="240" w:lineRule="auto"/>
              <w:jc w:val="center"/>
              <w:rPr>
                <w:color w:val="000000"/>
              </w:rPr>
            </w:pPr>
            <w:r w:rsidRPr="0000085E">
              <w:rPr>
                <w:color w:val="000000"/>
              </w:rPr>
              <w:t>-0.89</w:t>
            </w:r>
          </w:p>
        </w:tc>
      </w:tr>
      <w:tr w:rsidR="004E3885" w:rsidRPr="0000085E" w14:paraId="05713109" w14:textId="77777777" w:rsidTr="004F4C7C">
        <w:trPr>
          <w:trHeight w:val="300"/>
          <w:jc w:val="center"/>
        </w:trPr>
        <w:tc>
          <w:tcPr>
            <w:tcW w:w="2417" w:type="dxa"/>
            <w:noWrap/>
            <w:hideMark/>
          </w:tcPr>
          <w:p w14:paraId="74F13CEB" w14:textId="77777777" w:rsidR="004E3885" w:rsidRPr="0000085E" w:rsidRDefault="004E3885" w:rsidP="007A4368">
            <w:pPr>
              <w:spacing w:line="240" w:lineRule="auto"/>
              <w:rPr>
                <w:b/>
                <w:color w:val="000000"/>
              </w:rPr>
            </w:pPr>
            <w:r w:rsidRPr="0000085E">
              <w:rPr>
                <w:color w:val="000000"/>
              </w:rPr>
              <w:t>Xalisco</w:t>
            </w:r>
          </w:p>
        </w:tc>
        <w:tc>
          <w:tcPr>
            <w:tcW w:w="1390" w:type="dxa"/>
            <w:noWrap/>
            <w:hideMark/>
          </w:tcPr>
          <w:p w14:paraId="65BB0538" w14:textId="77777777" w:rsidR="004E3885" w:rsidRPr="0000085E" w:rsidRDefault="004E3885" w:rsidP="007A4368">
            <w:pPr>
              <w:spacing w:line="240" w:lineRule="auto"/>
              <w:jc w:val="center"/>
              <w:rPr>
                <w:color w:val="000000"/>
              </w:rPr>
            </w:pPr>
            <w:r w:rsidRPr="0000085E">
              <w:rPr>
                <w:color w:val="000000"/>
              </w:rPr>
              <w:t>0.44</w:t>
            </w:r>
          </w:p>
        </w:tc>
        <w:tc>
          <w:tcPr>
            <w:tcW w:w="1391" w:type="dxa"/>
            <w:noWrap/>
            <w:hideMark/>
          </w:tcPr>
          <w:p w14:paraId="52C42D4E" w14:textId="77777777" w:rsidR="004E3885" w:rsidRPr="0000085E" w:rsidRDefault="004E3885" w:rsidP="007A4368">
            <w:pPr>
              <w:spacing w:line="240" w:lineRule="auto"/>
              <w:jc w:val="center"/>
              <w:rPr>
                <w:color w:val="000000"/>
              </w:rPr>
            </w:pPr>
            <w:r w:rsidRPr="0000085E">
              <w:rPr>
                <w:color w:val="000000"/>
              </w:rPr>
              <w:t>-0.25</w:t>
            </w:r>
          </w:p>
        </w:tc>
        <w:tc>
          <w:tcPr>
            <w:tcW w:w="1390" w:type="dxa"/>
            <w:noWrap/>
            <w:hideMark/>
          </w:tcPr>
          <w:p w14:paraId="4B0ADBC2" w14:textId="77777777" w:rsidR="004E3885" w:rsidRPr="0000085E" w:rsidRDefault="004E3885" w:rsidP="007A4368">
            <w:pPr>
              <w:spacing w:line="240" w:lineRule="auto"/>
              <w:jc w:val="center"/>
              <w:rPr>
                <w:color w:val="000000"/>
              </w:rPr>
            </w:pPr>
            <w:r w:rsidRPr="0000085E">
              <w:rPr>
                <w:color w:val="000000"/>
              </w:rPr>
              <w:t>-0.71</w:t>
            </w:r>
          </w:p>
        </w:tc>
        <w:tc>
          <w:tcPr>
            <w:tcW w:w="1391" w:type="dxa"/>
            <w:noWrap/>
            <w:hideMark/>
          </w:tcPr>
          <w:p w14:paraId="7A9D73D2" w14:textId="77777777" w:rsidR="004E3885" w:rsidRPr="0000085E" w:rsidRDefault="004E3885" w:rsidP="007A4368">
            <w:pPr>
              <w:spacing w:line="240" w:lineRule="auto"/>
              <w:jc w:val="center"/>
              <w:rPr>
                <w:color w:val="000000"/>
              </w:rPr>
            </w:pPr>
            <w:r w:rsidRPr="0000085E">
              <w:rPr>
                <w:color w:val="000000"/>
              </w:rPr>
              <w:t>-0.47</w:t>
            </w:r>
          </w:p>
        </w:tc>
      </w:tr>
    </w:tbl>
    <w:p w14:paraId="79E0A62F" w14:textId="39FED95F" w:rsidR="007936FB" w:rsidRPr="0051476A" w:rsidRDefault="00A21553" w:rsidP="007A4368">
      <w:pPr>
        <w:spacing w:after="0"/>
        <w:jc w:val="center"/>
        <w:rPr>
          <w:rFonts w:cs="Times New Roman"/>
        </w:rPr>
      </w:pPr>
      <w:r w:rsidRPr="0051476A">
        <w:rPr>
          <w:rFonts w:cs="Times New Roman"/>
          <w:bCs/>
        </w:rPr>
        <w:t>Fuente:</w:t>
      </w:r>
      <w:r w:rsidRPr="0051476A">
        <w:rPr>
          <w:rFonts w:cs="Times New Roman"/>
        </w:rPr>
        <w:t xml:space="preserve"> Elaboración propia</w:t>
      </w:r>
    </w:p>
    <w:p w14:paraId="310AE320" w14:textId="471791C8" w:rsidR="007936FB" w:rsidRDefault="00A21553" w:rsidP="007A4368">
      <w:pPr>
        <w:spacing w:after="0"/>
        <w:ind w:firstLine="567"/>
        <w:rPr>
          <w:rFonts w:cs="Times New Roman"/>
        </w:rPr>
      </w:pPr>
      <w:r w:rsidRPr="0051476A">
        <w:rPr>
          <w:rFonts w:cs="Times New Roman"/>
        </w:rPr>
        <w:t>La jerarquización de los niveles de vulnerabilidad muestra la situación de cada uno de los municipios. En la figura 2 se observa que Del Nayar es el único municipio con muy alta vulnerabilidad alimentaria global. Los cinco municipios con alta vulnerabilidad son Huajicori, Acaponeta, Rosamorada, Ruíz y Jala; en tanto que Tecuala, Tuxpán, Santiago Ixcuintla, Compostela y La Yesca clasifican con vulnerabilidad media; enseguida están San Blas, Tepic, Xalisco, Santa María del Oro, San Pedro Lagunillas, Ixtlán del Río, Ahuacatlán y Bahía de Banderas con baja vulnerabilidad alimentaria, y, por último, está Amatlán de Cañas con muy baja vulnerabilidad alimentaria global. Asimismo, los resultados muestran que la condición de vulnerabilidad a nivel municipal tiene diversas causas.</w:t>
      </w:r>
    </w:p>
    <w:p w14:paraId="34B7E5AE" w14:textId="77777777" w:rsidR="007F0967" w:rsidRDefault="007F0967" w:rsidP="007A4368">
      <w:pPr>
        <w:spacing w:after="0"/>
        <w:ind w:firstLine="567"/>
        <w:jc w:val="center"/>
        <w:rPr>
          <w:rFonts w:cs="Times New Roman"/>
          <w:b/>
          <w:bCs/>
        </w:rPr>
      </w:pPr>
    </w:p>
    <w:p w14:paraId="3F56B29D" w14:textId="77777777" w:rsidR="007F0967" w:rsidRDefault="007F0967" w:rsidP="007A4368">
      <w:pPr>
        <w:spacing w:after="0"/>
        <w:ind w:firstLine="567"/>
        <w:jc w:val="center"/>
        <w:rPr>
          <w:rFonts w:cs="Times New Roman"/>
          <w:b/>
          <w:bCs/>
        </w:rPr>
      </w:pPr>
    </w:p>
    <w:p w14:paraId="6A688ACB" w14:textId="77777777" w:rsidR="007F0967" w:rsidRDefault="007F0967" w:rsidP="007A4368">
      <w:pPr>
        <w:spacing w:after="0"/>
        <w:ind w:firstLine="567"/>
        <w:jc w:val="center"/>
        <w:rPr>
          <w:rFonts w:cs="Times New Roman"/>
          <w:b/>
          <w:bCs/>
        </w:rPr>
      </w:pPr>
    </w:p>
    <w:p w14:paraId="171DEB03" w14:textId="77777777" w:rsidR="007F0967" w:rsidRDefault="007F0967" w:rsidP="007A4368">
      <w:pPr>
        <w:spacing w:after="0"/>
        <w:ind w:firstLine="567"/>
        <w:jc w:val="center"/>
        <w:rPr>
          <w:rFonts w:cs="Times New Roman"/>
          <w:b/>
          <w:bCs/>
        </w:rPr>
      </w:pPr>
    </w:p>
    <w:p w14:paraId="40DE3E76" w14:textId="47A16EA1" w:rsidR="007936FB" w:rsidRDefault="00A21553" w:rsidP="007A4368">
      <w:pPr>
        <w:spacing w:after="0"/>
        <w:ind w:firstLine="567"/>
        <w:jc w:val="center"/>
        <w:rPr>
          <w:rFonts w:cs="Times New Roman"/>
        </w:rPr>
      </w:pPr>
      <w:r w:rsidRPr="0051476A">
        <w:rPr>
          <w:rFonts w:cs="Times New Roman"/>
          <w:b/>
          <w:bCs/>
        </w:rPr>
        <w:lastRenderedPageBreak/>
        <w:t>Figura 2</w:t>
      </w:r>
      <w:r w:rsidRPr="0051476A">
        <w:rPr>
          <w:rFonts w:cs="Times New Roman"/>
          <w:b/>
        </w:rPr>
        <w:t xml:space="preserve">. </w:t>
      </w:r>
      <w:r w:rsidRPr="0051476A">
        <w:rPr>
          <w:rFonts w:cs="Times New Roman"/>
          <w:bCs/>
        </w:rPr>
        <w:t>ISEV</w:t>
      </w:r>
      <w:r w:rsidRPr="0051476A">
        <w:rPr>
          <w:rFonts w:cs="Times New Roman"/>
        </w:rPr>
        <w:t xml:space="preserve"> de Nayarit, 2015</w:t>
      </w:r>
    </w:p>
    <w:p w14:paraId="0F259B7B" w14:textId="1D76E31F" w:rsidR="007936FB" w:rsidRPr="0051476A" w:rsidRDefault="00D943F1" w:rsidP="007A4368">
      <w:pPr>
        <w:spacing w:after="0"/>
        <w:ind w:firstLine="567"/>
        <w:jc w:val="center"/>
        <w:rPr>
          <w:rFonts w:cs="Times New Roman"/>
        </w:rPr>
      </w:pPr>
      <w:r>
        <w:rPr>
          <w:rFonts w:cs="Times New Roman"/>
          <w:noProof/>
        </w:rPr>
        <w:drawing>
          <wp:inline distT="0" distB="0" distL="0" distR="0" wp14:anchorId="6EDE1D51" wp14:editId="219B0856">
            <wp:extent cx="3725692" cy="4819650"/>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6892" cy="4821202"/>
                    </a:xfrm>
                    <a:prstGeom prst="rect">
                      <a:avLst/>
                    </a:prstGeom>
                    <a:noFill/>
                  </pic:spPr>
                </pic:pic>
              </a:graphicData>
            </a:graphic>
          </wp:inline>
        </w:drawing>
      </w:r>
    </w:p>
    <w:p w14:paraId="43D90EB9" w14:textId="50B79702" w:rsidR="007936FB" w:rsidRPr="0051476A" w:rsidRDefault="00A21553" w:rsidP="007A4368">
      <w:pPr>
        <w:spacing w:after="0" w:line="240" w:lineRule="auto"/>
        <w:ind w:firstLine="567"/>
        <w:jc w:val="center"/>
        <w:rPr>
          <w:rFonts w:cs="Times New Roman"/>
        </w:rPr>
      </w:pPr>
      <w:r w:rsidRPr="0051476A">
        <w:rPr>
          <w:rFonts w:cs="Times New Roman"/>
          <w:bCs/>
        </w:rPr>
        <w:t>Fuente:</w:t>
      </w:r>
      <w:r w:rsidRPr="0051476A">
        <w:rPr>
          <w:rFonts w:cs="Times New Roman"/>
        </w:rPr>
        <w:t xml:space="preserve"> Elaboración propia</w:t>
      </w:r>
    </w:p>
    <w:p w14:paraId="4FAAD305" w14:textId="77777777" w:rsidR="007936FB" w:rsidRPr="0051476A" w:rsidRDefault="007936FB" w:rsidP="007A4368">
      <w:pPr>
        <w:spacing w:after="0"/>
        <w:rPr>
          <w:rFonts w:cs="Times New Roman"/>
        </w:rPr>
      </w:pPr>
    </w:p>
    <w:p w14:paraId="676E49A5" w14:textId="1A442265" w:rsidR="007936FB" w:rsidRPr="0051476A" w:rsidRDefault="00A21553" w:rsidP="007A4368">
      <w:pPr>
        <w:spacing w:after="0"/>
        <w:jc w:val="center"/>
        <w:rPr>
          <w:rFonts w:cs="Times New Roman"/>
          <w:b/>
          <w:iCs/>
          <w:sz w:val="28"/>
          <w:szCs w:val="28"/>
        </w:rPr>
      </w:pPr>
      <w:r w:rsidRPr="0051476A">
        <w:rPr>
          <w:rFonts w:cs="Times New Roman"/>
          <w:b/>
          <w:iCs/>
          <w:sz w:val="28"/>
          <w:szCs w:val="28"/>
        </w:rPr>
        <w:t>Condición de vulnerabilidad por municipio</w:t>
      </w:r>
    </w:p>
    <w:p w14:paraId="0D0C2F30" w14:textId="62D973F9" w:rsidR="007936FB" w:rsidRPr="0051476A" w:rsidRDefault="00A21553" w:rsidP="007A4368">
      <w:pPr>
        <w:spacing w:after="0"/>
        <w:ind w:firstLine="708"/>
        <w:rPr>
          <w:rFonts w:cs="Times New Roman"/>
        </w:rPr>
      </w:pPr>
      <w:r w:rsidRPr="0051476A">
        <w:rPr>
          <w:rFonts w:cs="Times New Roman"/>
        </w:rPr>
        <w:t xml:space="preserve">Del Nayar es el único municipio identificado con un ISEV muy alto. Tiene las condiciones con menor ventaja, índices de inseguridad y vulnerabilidad alimentaria muy altos  y un IDSE muy bajo. Se caracteriza por ser de </w:t>
      </w:r>
      <w:r w:rsidRPr="0051476A">
        <w:rPr>
          <w:rFonts w:eastAsia="Calibri" w:cs="Times New Roman"/>
        </w:rPr>
        <w:t>condición rural en la totalidad de sus localidades, con muy altos índices de marginación (3.6); presenta tasa bruta de actividad económica muy baja, solo 16 % de la población está económicamente activa ocupada, cada 502 personas inactivas (sin empleo formal) son sostenidas por cada 100 activos (con empleo formal).</w:t>
      </w:r>
      <w:r w:rsidRPr="0051476A">
        <w:rPr>
          <w:rFonts w:cs="Times New Roman"/>
        </w:rPr>
        <w:t xml:space="preserve"> Además, en Del Nayar se registró el mayor porcentaje de hogares con inseguridad alimentaria en el estado (45 %). También se identifica un nivel de vulnerabilidad alimentaria </w:t>
      </w:r>
      <w:r w:rsidRPr="0051476A">
        <w:rPr>
          <w:rFonts w:cs="Times New Roman"/>
        </w:rPr>
        <w:lastRenderedPageBreak/>
        <w:t xml:space="preserve">muy alto (ver figura 3), 51 % de la población tiene menos de 18 años, el promedio de escolaridad es el menor en el estado (4.5 años). </w:t>
      </w:r>
    </w:p>
    <w:p w14:paraId="7004C3FE" w14:textId="77777777" w:rsidR="007936FB" w:rsidRPr="0051476A" w:rsidRDefault="007936FB" w:rsidP="007A4368">
      <w:pPr>
        <w:spacing w:after="0"/>
        <w:ind w:firstLine="708"/>
        <w:rPr>
          <w:rFonts w:cs="Times New Roman"/>
        </w:rPr>
      </w:pPr>
    </w:p>
    <w:p w14:paraId="20088D50" w14:textId="29FBB296" w:rsidR="007936FB" w:rsidRPr="0051476A" w:rsidRDefault="00A21553" w:rsidP="007A4368">
      <w:pPr>
        <w:spacing w:after="0"/>
        <w:ind w:firstLine="567"/>
        <w:jc w:val="center"/>
        <w:rPr>
          <w:rFonts w:cs="Times New Roman"/>
        </w:rPr>
      </w:pPr>
      <w:r w:rsidRPr="0051476A">
        <w:rPr>
          <w:rFonts w:cs="Times New Roman"/>
          <w:b/>
          <w:bCs/>
        </w:rPr>
        <w:t>Figura 3</w:t>
      </w:r>
      <w:r w:rsidRPr="0051476A">
        <w:rPr>
          <w:rFonts w:cs="Times New Roman"/>
          <w:color w:val="000000" w:themeColor="text1"/>
        </w:rPr>
        <w:t>.</w:t>
      </w:r>
      <w:r w:rsidRPr="0051476A">
        <w:rPr>
          <w:rFonts w:cs="Times New Roman"/>
          <w:b/>
          <w:bCs/>
          <w:color w:val="000000" w:themeColor="text1"/>
        </w:rPr>
        <w:t xml:space="preserve"> </w:t>
      </w:r>
      <w:r w:rsidRPr="0051476A">
        <w:rPr>
          <w:rFonts w:cs="Times New Roman"/>
          <w:color w:val="000000" w:themeColor="text1"/>
        </w:rPr>
        <w:t xml:space="preserve">Índice temático de vulnerabilidad </w:t>
      </w:r>
      <w:r w:rsidRPr="0051476A">
        <w:rPr>
          <w:rFonts w:cs="Times New Roman"/>
        </w:rPr>
        <w:t>alimentaria de Nayarit, 2015</w:t>
      </w:r>
    </w:p>
    <w:p w14:paraId="0321EB31" w14:textId="41B84ED7" w:rsidR="007936FB" w:rsidRPr="0051476A" w:rsidRDefault="00A21553" w:rsidP="007A4368">
      <w:pPr>
        <w:spacing w:after="0"/>
        <w:ind w:firstLine="567"/>
        <w:jc w:val="center"/>
        <w:rPr>
          <w:rFonts w:cs="Times New Roman"/>
          <w:color w:val="000000"/>
          <w:shd w:val="clear" w:color="auto" w:fill="FFFFFF"/>
        </w:rPr>
      </w:pPr>
      <w:r w:rsidRPr="0051476A">
        <w:rPr>
          <w:rFonts w:cs="Times New Roman"/>
          <w:noProof/>
          <w:color w:val="000000"/>
          <w:shd w:val="clear" w:color="auto" w:fill="FFFFFF"/>
        </w:rPr>
        <w:drawing>
          <wp:inline distT="0" distB="0" distL="0" distR="0" wp14:anchorId="5CCF435C" wp14:editId="056FAD5C">
            <wp:extent cx="3557273" cy="4603531"/>
            <wp:effectExtent l="0" t="0" r="5080" b="6985"/>
            <wp:docPr id="5" name="Imagen 5" descr="C:\Users\HP G4 2380\AppData\Local\Temp\wzaf01\I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 G4 2380\AppData\Local\Temp\wzaf01\IV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58533" cy="4605161"/>
                    </a:xfrm>
                    <a:prstGeom prst="rect">
                      <a:avLst/>
                    </a:prstGeom>
                    <a:noFill/>
                    <a:ln>
                      <a:noFill/>
                    </a:ln>
                  </pic:spPr>
                </pic:pic>
              </a:graphicData>
            </a:graphic>
          </wp:inline>
        </w:drawing>
      </w:r>
    </w:p>
    <w:p w14:paraId="56B56F96" w14:textId="37A569C1" w:rsidR="007936FB" w:rsidRPr="0051476A" w:rsidRDefault="00A21553" w:rsidP="007A4368">
      <w:pPr>
        <w:spacing w:after="0"/>
        <w:ind w:firstLine="567"/>
        <w:jc w:val="center"/>
        <w:rPr>
          <w:rFonts w:cs="Times New Roman"/>
          <w:color w:val="000000"/>
          <w:shd w:val="clear" w:color="auto" w:fill="FFFFFF"/>
        </w:rPr>
      </w:pPr>
      <w:r w:rsidRPr="0051476A">
        <w:rPr>
          <w:rFonts w:cs="Times New Roman"/>
          <w:color w:val="000000"/>
          <w:shd w:val="clear" w:color="auto" w:fill="FFFFFF"/>
        </w:rPr>
        <w:t>Fuente: Elaboración propia</w:t>
      </w:r>
    </w:p>
    <w:p w14:paraId="474861F6" w14:textId="29E46E73" w:rsidR="007936FB" w:rsidRPr="0051476A" w:rsidRDefault="00A21553" w:rsidP="007A4368">
      <w:pPr>
        <w:spacing w:after="0"/>
        <w:ind w:firstLine="708"/>
        <w:rPr>
          <w:rFonts w:eastAsia="Calibri" w:cs="Times New Roman"/>
        </w:rPr>
      </w:pPr>
      <w:r w:rsidRPr="0051476A">
        <w:rPr>
          <w:rFonts w:cs="Times New Roman"/>
        </w:rPr>
        <w:t>Jala se identificó con un ISEV alto. Este municipio tiene índices de desarrollo socioeconómico bajo, inseguridad alimentaria muy alto y de vulnerabilidad alimentaria alto. La situación de desarrollo se debe a que tiene baja actividad económica, ya que solo 34 % de la población se encuentra económicamente activa y además presenta alta dependencia económica (19 personas dependen de 10).</w:t>
      </w:r>
      <w:r w:rsidRPr="0051476A">
        <w:rPr>
          <w:rFonts w:eastAsia="Calibri" w:cs="Times New Roman"/>
        </w:rPr>
        <w:t xml:space="preserve"> Por otra parte, Jala, con </w:t>
      </w:r>
      <w:r w:rsidRPr="0051476A">
        <w:rPr>
          <w:rFonts w:cs="Times New Roman"/>
        </w:rPr>
        <w:t xml:space="preserve">38.5 % de la </w:t>
      </w:r>
      <w:r w:rsidRPr="0051476A">
        <w:rPr>
          <w:rFonts w:eastAsia="Calibri" w:cs="Times New Roman"/>
        </w:rPr>
        <w:t xml:space="preserve">población con </w:t>
      </w:r>
      <w:r w:rsidRPr="0051476A">
        <w:rPr>
          <w:rFonts w:cs="Times New Roman"/>
        </w:rPr>
        <w:t xml:space="preserve">inseguridad alimentaria moderada o severa, se coloca en el segundo lugar </w:t>
      </w:r>
      <w:r w:rsidRPr="0051476A">
        <w:rPr>
          <w:rFonts w:eastAsia="Calibri" w:cs="Times New Roman"/>
        </w:rPr>
        <w:t xml:space="preserve">de la entidad con inseguridad alimentaria (véase figura 4). Lo que coloca a este municipio con un IVA alto es que presenta alta sensibilidad. </w:t>
      </w:r>
    </w:p>
    <w:p w14:paraId="68493E23" w14:textId="18DF0127" w:rsidR="007936FB" w:rsidRPr="0051476A" w:rsidRDefault="00A21553" w:rsidP="007A4368">
      <w:pPr>
        <w:spacing w:after="0"/>
        <w:jc w:val="center"/>
        <w:rPr>
          <w:rFonts w:eastAsia="Calibri" w:cs="Times New Roman"/>
        </w:rPr>
      </w:pPr>
      <w:r w:rsidRPr="0051476A">
        <w:rPr>
          <w:rFonts w:cs="Times New Roman"/>
          <w:b/>
          <w:bCs/>
        </w:rPr>
        <w:lastRenderedPageBreak/>
        <w:t>Figura 4</w:t>
      </w:r>
      <w:r w:rsidRPr="0051476A">
        <w:rPr>
          <w:rFonts w:cs="Times New Roman"/>
        </w:rPr>
        <w:t xml:space="preserve">. </w:t>
      </w:r>
      <w:r w:rsidRPr="0051476A">
        <w:rPr>
          <w:rFonts w:cs="Times New Roman"/>
          <w:color w:val="000000" w:themeColor="text1"/>
        </w:rPr>
        <w:t xml:space="preserve">Índice temático de inseguridad </w:t>
      </w:r>
      <w:r w:rsidRPr="0051476A">
        <w:rPr>
          <w:rFonts w:cs="Times New Roman"/>
        </w:rPr>
        <w:t>alimentaria de Nayarit, 2015</w:t>
      </w:r>
    </w:p>
    <w:p w14:paraId="5CE1A85E" w14:textId="32D8D29B" w:rsidR="007936FB" w:rsidRPr="0051476A" w:rsidRDefault="00D943F1" w:rsidP="007A4368">
      <w:pPr>
        <w:spacing w:after="0"/>
        <w:ind w:firstLine="567"/>
        <w:jc w:val="center"/>
        <w:rPr>
          <w:rFonts w:eastAsia="Calibri" w:cs="Times New Roman"/>
        </w:rPr>
      </w:pPr>
      <w:r>
        <w:rPr>
          <w:rFonts w:eastAsia="Calibri" w:cs="Times New Roman"/>
          <w:noProof/>
        </w:rPr>
        <w:drawing>
          <wp:inline distT="0" distB="0" distL="0" distR="0" wp14:anchorId="189DE483" wp14:editId="2B165B3C">
            <wp:extent cx="4066741" cy="526568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90785" cy="5296815"/>
                    </a:xfrm>
                    <a:prstGeom prst="rect">
                      <a:avLst/>
                    </a:prstGeom>
                    <a:noFill/>
                  </pic:spPr>
                </pic:pic>
              </a:graphicData>
            </a:graphic>
          </wp:inline>
        </w:drawing>
      </w:r>
    </w:p>
    <w:p w14:paraId="2AE131BE" w14:textId="77FEBCE8" w:rsidR="007936FB" w:rsidRPr="0051476A" w:rsidRDefault="00A21553" w:rsidP="007A4368">
      <w:pPr>
        <w:spacing w:after="0"/>
        <w:ind w:firstLine="567"/>
        <w:jc w:val="center"/>
        <w:rPr>
          <w:rFonts w:eastAsia="Calibri" w:cs="Times New Roman"/>
        </w:rPr>
      </w:pPr>
      <w:r w:rsidRPr="0051476A">
        <w:rPr>
          <w:rFonts w:eastAsia="Calibri" w:cs="Times New Roman"/>
        </w:rPr>
        <w:t>Fuente: Elaboración propia</w:t>
      </w:r>
    </w:p>
    <w:p w14:paraId="58050E51" w14:textId="2507B3DD" w:rsidR="007936FB" w:rsidRPr="0051476A" w:rsidRDefault="00A21553" w:rsidP="007A4368">
      <w:pPr>
        <w:spacing w:after="0"/>
        <w:ind w:firstLine="567"/>
        <w:rPr>
          <w:rFonts w:eastAsia="Calibri" w:cs="Times New Roman"/>
        </w:rPr>
      </w:pPr>
      <w:r w:rsidRPr="0051476A">
        <w:rPr>
          <w:rFonts w:eastAsia="Calibri" w:cs="Times New Roman"/>
        </w:rPr>
        <w:t xml:space="preserve">Acaponeta presenta un ISEV alto, un IDSE bajo, un IIA alto y un IVA muy alto. </w:t>
      </w:r>
      <w:r w:rsidRPr="0051476A">
        <w:rPr>
          <w:rFonts w:cs="Times New Roman"/>
        </w:rPr>
        <w:t xml:space="preserve">La situación de desarrollo se debe a que tiene baja actividad económica: únicamente 35 % de la población se encuentra económicamente activa, y además presenta alta dependencia económica (19 personas dependen de 10). En Acaponeta, 29.4 % de la población reporta inseguridad alimentaria moderada o severa. Por otra parte, el IVA es muy alto debido a que mostró el índice de mortalidad infantil por desnutrición más alto del estado (8.81 caso por cada 100 000), esto lo ubica con índice de sensibilidad muy alto y no se observa capacidad adaptativa suficiente como para reducir la vulnerabilidad. Asimismo, este municipio no </w:t>
      </w:r>
      <w:r w:rsidRPr="0051476A">
        <w:rPr>
          <w:rFonts w:cs="Times New Roman"/>
        </w:rPr>
        <w:lastRenderedPageBreak/>
        <w:t>presentó características de pobreza y, por ello, no se destinó suficiente apoyo por parte de programas de ayuda alimentaria.</w:t>
      </w:r>
    </w:p>
    <w:p w14:paraId="5503100B" w14:textId="338BDDEF" w:rsidR="007936FB" w:rsidRPr="0051476A" w:rsidRDefault="00A21553" w:rsidP="007A4368">
      <w:pPr>
        <w:spacing w:after="0"/>
        <w:ind w:firstLine="567"/>
        <w:rPr>
          <w:rFonts w:cs="Times New Roman"/>
        </w:rPr>
      </w:pPr>
      <w:r w:rsidRPr="0051476A">
        <w:rPr>
          <w:rFonts w:cs="Times New Roman"/>
        </w:rPr>
        <w:t>Rosamorada presenta un ISEV alto, reporta un IDSE bajo, índices de inseguridad y vulnerabilidad alimentaria altos. La dependencia económica, un indicador del IDSE, es de 21 personas por cada 10. Asociado a ello, tiene baja actividad económica (32 % de la población se encuentra económicamente activa)</w:t>
      </w:r>
      <w:r w:rsidRPr="0051476A">
        <w:rPr>
          <w:rFonts w:eastAsia="Calibri" w:cs="Times New Roman"/>
        </w:rPr>
        <w:t>. En Rosamorada, 29.4 % de la población reporta inseguridad moderada o severa. Además, aunque presenta exposición y sensibilidad media, muestra baja capacidad adaptativa;</w:t>
      </w:r>
      <w:r w:rsidRPr="0051476A">
        <w:rPr>
          <w:rFonts w:cs="Times New Roman"/>
        </w:rPr>
        <w:t xml:space="preserve"> registró el menor capital financiero de la entidad.</w:t>
      </w:r>
    </w:p>
    <w:p w14:paraId="718B4EEF" w14:textId="04F0C75D" w:rsidR="007936FB" w:rsidRPr="0051476A" w:rsidRDefault="00A21553" w:rsidP="007A4368">
      <w:pPr>
        <w:spacing w:after="0"/>
        <w:ind w:firstLine="567"/>
        <w:rPr>
          <w:rFonts w:cs="Times New Roman"/>
        </w:rPr>
      </w:pPr>
      <w:r w:rsidRPr="0051476A">
        <w:rPr>
          <w:rFonts w:cs="Times New Roman"/>
        </w:rPr>
        <w:t xml:space="preserve">Ruiz muestra un ISEV alto, presenta un IDSE medio, un IIA alto y un IVA muy alto. El porcentaje de población con inseguridad alimentaria moderada o severa fue de 28.5. En este municipio </w:t>
      </w:r>
      <w:r w:rsidRPr="0051476A">
        <w:rPr>
          <w:rFonts w:eastAsia="Calibri" w:cs="Times New Roman"/>
        </w:rPr>
        <w:t>lo que más resalta es que registró 3.99 casos de muertes por desnutrición en menores de 5 años por cada 100 000 en el año 2011. Este municipio tampoco presentó características de pobreza y por ello no se destinó suficiente apoyo por parte de programas de ayuda alimentaria.</w:t>
      </w:r>
    </w:p>
    <w:p w14:paraId="086017F8" w14:textId="24A89FD4" w:rsidR="007936FB" w:rsidRPr="0051476A" w:rsidRDefault="00A21553" w:rsidP="007A4368">
      <w:pPr>
        <w:spacing w:after="0"/>
        <w:ind w:firstLine="567"/>
        <w:rPr>
          <w:rFonts w:eastAsia="Calibri" w:cs="Times New Roman"/>
        </w:rPr>
      </w:pPr>
      <w:r w:rsidRPr="0051476A">
        <w:rPr>
          <w:rFonts w:cs="Times New Roman"/>
        </w:rPr>
        <w:t xml:space="preserve">Huajicori se identificó con un ISEV alto, con un IDSE </w:t>
      </w:r>
      <w:r w:rsidRPr="0051476A">
        <w:rPr>
          <w:rFonts w:eastAsia="Calibri" w:cs="Times New Roman"/>
        </w:rPr>
        <w:t xml:space="preserve">muy bajo, un IIA bajo y un IVA alto. El tema de desarrollo socioeconómico </w:t>
      </w:r>
      <w:r w:rsidR="003669FE" w:rsidRPr="0051476A">
        <w:rPr>
          <w:rFonts w:eastAsia="Calibri" w:cs="Times New Roman"/>
        </w:rPr>
        <w:t xml:space="preserve">(figura 5) </w:t>
      </w:r>
      <w:r w:rsidRPr="0051476A">
        <w:rPr>
          <w:rFonts w:eastAsia="Calibri" w:cs="Times New Roman"/>
        </w:rPr>
        <w:t xml:space="preserve">es lo que principalmente coloca a este municipio con un ISEV alto. Este tipo de municipios se caracterizan por tener un grado de urbanización nulo, con características rurales en la totalidad de su extensión, las cuales se asocian con un muy alto índice de marginación (1.4), con alta dependencia económica (21 personas dependen de 10) y tasa de actividad económica limitada (únicamente 32 % de la población se encuentra económicamente activa), así como a que tienen un menor porcentaje (66 %) de cobertura de salud en el estado. Respecto a </w:t>
      </w:r>
      <w:r w:rsidRPr="0051476A">
        <w:rPr>
          <w:rFonts w:cs="Times New Roman"/>
        </w:rPr>
        <w:t>Huajicori, por último,</w:t>
      </w:r>
      <w:r w:rsidRPr="0051476A">
        <w:rPr>
          <w:rFonts w:eastAsia="Calibri" w:cs="Times New Roman"/>
        </w:rPr>
        <w:t xml:space="preserve"> se identifica la menor proporción de población ocupada con ingresos de más de dos salarios mínimos (15 %).</w:t>
      </w:r>
    </w:p>
    <w:p w14:paraId="22C35296" w14:textId="71CD815E" w:rsidR="007936FB" w:rsidRDefault="007936FB" w:rsidP="007A4368">
      <w:pPr>
        <w:spacing w:after="0"/>
        <w:ind w:firstLine="567"/>
        <w:rPr>
          <w:rFonts w:eastAsia="Calibri" w:cs="Times New Roman"/>
        </w:rPr>
      </w:pPr>
    </w:p>
    <w:p w14:paraId="73E8E496" w14:textId="48964EFE" w:rsidR="007F0967" w:rsidRDefault="007F0967" w:rsidP="007A4368">
      <w:pPr>
        <w:spacing w:after="0"/>
        <w:ind w:firstLine="567"/>
        <w:rPr>
          <w:rFonts w:eastAsia="Calibri" w:cs="Times New Roman"/>
        </w:rPr>
      </w:pPr>
    </w:p>
    <w:p w14:paraId="496153E5" w14:textId="35DC4811" w:rsidR="007F0967" w:rsidRDefault="007F0967" w:rsidP="007A4368">
      <w:pPr>
        <w:spacing w:after="0"/>
        <w:ind w:firstLine="567"/>
        <w:rPr>
          <w:rFonts w:eastAsia="Calibri" w:cs="Times New Roman"/>
        </w:rPr>
      </w:pPr>
    </w:p>
    <w:p w14:paraId="5EC57FC7" w14:textId="59C3D9B2" w:rsidR="007F0967" w:rsidRDefault="007F0967" w:rsidP="007A4368">
      <w:pPr>
        <w:spacing w:after="0"/>
        <w:ind w:firstLine="567"/>
        <w:rPr>
          <w:rFonts w:eastAsia="Calibri" w:cs="Times New Roman"/>
        </w:rPr>
      </w:pPr>
    </w:p>
    <w:p w14:paraId="49836ACA" w14:textId="51A49B27" w:rsidR="007F0967" w:rsidRDefault="007F0967" w:rsidP="007A4368">
      <w:pPr>
        <w:spacing w:after="0"/>
        <w:ind w:firstLine="567"/>
        <w:rPr>
          <w:rFonts w:eastAsia="Calibri" w:cs="Times New Roman"/>
        </w:rPr>
      </w:pPr>
    </w:p>
    <w:p w14:paraId="32E103DB" w14:textId="7D5DB67B" w:rsidR="007F0967" w:rsidRDefault="007F0967" w:rsidP="007A4368">
      <w:pPr>
        <w:spacing w:after="0"/>
        <w:ind w:firstLine="567"/>
        <w:rPr>
          <w:rFonts w:eastAsia="Calibri" w:cs="Times New Roman"/>
        </w:rPr>
      </w:pPr>
    </w:p>
    <w:p w14:paraId="0F2E894B" w14:textId="0755B86C" w:rsidR="007F0967" w:rsidRDefault="007F0967" w:rsidP="007A4368">
      <w:pPr>
        <w:spacing w:after="0"/>
        <w:ind w:firstLine="567"/>
        <w:rPr>
          <w:rFonts w:eastAsia="Calibri" w:cs="Times New Roman"/>
        </w:rPr>
      </w:pPr>
    </w:p>
    <w:p w14:paraId="7E90C738" w14:textId="77777777" w:rsidR="007F0967" w:rsidRPr="0051476A" w:rsidRDefault="007F0967" w:rsidP="007A4368">
      <w:pPr>
        <w:spacing w:after="0"/>
        <w:ind w:firstLine="567"/>
        <w:rPr>
          <w:rFonts w:eastAsia="Calibri" w:cs="Times New Roman"/>
        </w:rPr>
      </w:pPr>
    </w:p>
    <w:p w14:paraId="62F251C3" w14:textId="6AA6F30F" w:rsidR="007936FB" w:rsidRPr="0051476A" w:rsidRDefault="00A21553" w:rsidP="007A4368">
      <w:pPr>
        <w:spacing w:after="0"/>
        <w:jc w:val="center"/>
        <w:rPr>
          <w:rFonts w:cs="Times New Roman"/>
        </w:rPr>
      </w:pPr>
      <w:r w:rsidRPr="0051476A">
        <w:rPr>
          <w:rFonts w:cs="Times New Roman"/>
          <w:b/>
          <w:bCs/>
        </w:rPr>
        <w:lastRenderedPageBreak/>
        <w:t>Figura 5</w:t>
      </w:r>
      <w:r w:rsidRPr="0051476A">
        <w:rPr>
          <w:rFonts w:cs="Times New Roman"/>
        </w:rPr>
        <w:t xml:space="preserve">. </w:t>
      </w:r>
      <w:r w:rsidRPr="0051476A">
        <w:rPr>
          <w:rFonts w:cs="Times New Roman"/>
          <w:color w:val="000000" w:themeColor="text1"/>
        </w:rPr>
        <w:t xml:space="preserve">Índice temático de desarrollo </w:t>
      </w:r>
      <w:r w:rsidRPr="0051476A">
        <w:rPr>
          <w:rFonts w:cs="Times New Roman"/>
        </w:rPr>
        <w:t>socioeconómico de Nayarit, 2015</w:t>
      </w:r>
    </w:p>
    <w:p w14:paraId="053783A7" w14:textId="7B98DFB9" w:rsidR="007936FB" w:rsidRPr="0051476A" w:rsidRDefault="00D943F1" w:rsidP="007A4368">
      <w:pPr>
        <w:spacing w:after="0"/>
        <w:ind w:firstLine="567"/>
        <w:jc w:val="center"/>
        <w:rPr>
          <w:rFonts w:eastAsia="Calibri" w:cs="Times New Roman"/>
        </w:rPr>
      </w:pPr>
      <w:r>
        <w:rPr>
          <w:rFonts w:eastAsia="Calibri" w:cs="Times New Roman"/>
          <w:noProof/>
        </w:rPr>
        <w:drawing>
          <wp:inline distT="0" distB="0" distL="0" distR="0" wp14:anchorId="7899A031" wp14:editId="510B388E">
            <wp:extent cx="3819509" cy="4941014"/>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22649" cy="4945076"/>
                    </a:xfrm>
                    <a:prstGeom prst="rect">
                      <a:avLst/>
                    </a:prstGeom>
                    <a:noFill/>
                  </pic:spPr>
                </pic:pic>
              </a:graphicData>
            </a:graphic>
          </wp:inline>
        </w:drawing>
      </w:r>
    </w:p>
    <w:p w14:paraId="021017DB" w14:textId="27382B8D" w:rsidR="007936FB" w:rsidRPr="0051476A" w:rsidRDefault="00A21553" w:rsidP="007A4368">
      <w:pPr>
        <w:spacing w:after="0"/>
        <w:jc w:val="center"/>
        <w:rPr>
          <w:rFonts w:cs="Times New Roman"/>
        </w:rPr>
      </w:pPr>
      <w:r w:rsidRPr="0051476A">
        <w:rPr>
          <w:rFonts w:cs="Times New Roman"/>
        </w:rPr>
        <w:t>Fuente: Elaboración propia</w:t>
      </w:r>
    </w:p>
    <w:p w14:paraId="65112EB2" w14:textId="21C777E5" w:rsidR="007936FB" w:rsidRPr="0051476A" w:rsidRDefault="00A21553" w:rsidP="007A4368">
      <w:pPr>
        <w:spacing w:after="0"/>
        <w:ind w:firstLine="567"/>
        <w:rPr>
          <w:rFonts w:cs="Times New Roman"/>
        </w:rPr>
      </w:pPr>
      <w:r w:rsidRPr="0051476A">
        <w:rPr>
          <w:rFonts w:cs="Times New Roman"/>
        </w:rPr>
        <w:t>El municipio de Tecuala presenta un ISEV medio, resultado de un IDSE medio e índices de inseguridad y vulnerabilidad alimentaria altos. Es un municipio estancado, con alto porcentaje de población con inseguridad alimentaria (27.3 %), presenta alta exposición y baja capacidad adaptativa, con alta superficie agrícola per cápita (1.25 hectáreas por persona).</w:t>
      </w:r>
    </w:p>
    <w:p w14:paraId="5F3944BE" w14:textId="26309CEB" w:rsidR="007936FB" w:rsidRPr="0051476A" w:rsidRDefault="00A21553" w:rsidP="007A4368">
      <w:pPr>
        <w:spacing w:after="0"/>
        <w:ind w:firstLine="567"/>
        <w:rPr>
          <w:rFonts w:cs="Times New Roman"/>
        </w:rPr>
      </w:pPr>
      <w:r w:rsidRPr="0051476A">
        <w:rPr>
          <w:rFonts w:cs="Times New Roman"/>
        </w:rPr>
        <w:t xml:space="preserve">En Tuxpán se observa un ISEV medio con un IDSE alto, IIA muy alto e IVA bajo. Tuxpan ocupó el tercer lugar en el estado en porcentaje de población con inseguridad alimentaria (34 %) y población de 65 y más: aquí 10 % de la población tenía 65 y más años. Resalta que solo Tuxpán se identificó con un muy alto índice de capacidad adaptativa, ya que se tuvo la mayor dotación de capital financiero; de entre los indicadores de capital financiero </w:t>
      </w:r>
      <w:r w:rsidRPr="0051476A">
        <w:rPr>
          <w:rFonts w:cs="Times New Roman"/>
        </w:rPr>
        <w:lastRenderedPageBreak/>
        <w:t xml:space="preserve">destaca que tuvo la mayor tasa de apoyo económico a adultos; asimismo, del capital físico muestra la mayor proporción de tiendas de abarrotes y alimentos por hogar de la entidad. </w:t>
      </w:r>
    </w:p>
    <w:p w14:paraId="330F244F" w14:textId="3200B259" w:rsidR="007936FB" w:rsidRPr="0051476A" w:rsidRDefault="00A21553" w:rsidP="007A4368">
      <w:pPr>
        <w:spacing w:after="0"/>
        <w:ind w:firstLine="708"/>
        <w:rPr>
          <w:rFonts w:cs="Times New Roman"/>
        </w:rPr>
      </w:pPr>
      <w:r w:rsidRPr="0051476A">
        <w:rPr>
          <w:rFonts w:cs="Times New Roman"/>
        </w:rPr>
        <w:t xml:space="preserve">Compostela muestra un ISEV medio, así como un IDSE, IIA e IVA medios. Este municipio es el único que mantiene todos los índices en nivel medio, no presenta características sobresalientes. Otro municipio que presenta una distribución regular de los índices temáticos que integran al ISEV es Santiago Ixcuintla con un ISEV medio, IDSE medio, IIA bajo e IVA medio. </w:t>
      </w:r>
    </w:p>
    <w:p w14:paraId="66F0CB21" w14:textId="4C0C5DBD" w:rsidR="007936FB" w:rsidRPr="0051476A" w:rsidRDefault="00A21553" w:rsidP="007A4368">
      <w:pPr>
        <w:spacing w:after="0"/>
        <w:ind w:firstLine="567"/>
        <w:rPr>
          <w:rFonts w:eastAsia="Calibri" w:cs="Times New Roman"/>
        </w:rPr>
      </w:pPr>
      <w:r w:rsidRPr="0051476A">
        <w:rPr>
          <w:rFonts w:cs="Times New Roman"/>
        </w:rPr>
        <w:t>Por sus características, La Yesca adquiere un ISEV medio. Aunque presenta desventaja con un IDSE muy bajo, se identifica un IIA muy bajo y un IVA bajo.</w:t>
      </w:r>
      <w:r w:rsidRPr="0051476A">
        <w:rPr>
          <w:rFonts w:eastAsia="Calibri" w:cs="Times New Roman"/>
        </w:rPr>
        <w:t xml:space="preserve"> En La Yesca se detectó bajo nivel de inseguridad alimentaria, 13.4 % de la población; el promedio del estado es 25.5 %. Además, este municipio se caracteriza por tener un grado de urbanización nulo (cero).  Destaca porque tiene la menor densidad de población de la entidad (8 habitantes por kilómetro cuadrado). Otra característica sobresaliente es que </w:t>
      </w:r>
      <w:r w:rsidRPr="0051476A">
        <w:rPr>
          <w:rFonts w:cs="Times New Roman"/>
        </w:rPr>
        <w:t>muestra la menor esperanza de vida en el estado (60 años).</w:t>
      </w:r>
    </w:p>
    <w:p w14:paraId="3EADA86D" w14:textId="4811240E" w:rsidR="007936FB" w:rsidRPr="0051476A" w:rsidRDefault="00A21553" w:rsidP="007A4368">
      <w:pPr>
        <w:spacing w:after="0"/>
        <w:ind w:firstLine="567"/>
        <w:rPr>
          <w:rFonts w:cs="Times New Roman"/>
        </w:rPr>
      </w:pPr>
      <w:r w:rsidRPr="0051476A">
        <w:rPr>
          <w:rFonts w:cs="Times New Roman"/>
        </w:rPr>
        <w:t>Santa María del Oro, con un ISEV bajo, presenta un IDSE medio e índices de inseguridad y vulnerabilidad alimentaria bajos. En este municipio no se presentan características relevantes.</w:t>
      </w:r>
    </w:p>
    <w:p w14:paraId="2723259B" w14:textId="66EAAD9C" w:rsidR="007936FB" w:rsidRPr="0051476A" w:rsidRDefault="00A21553" w:rsidP="007A4368">
      <w:pPr>
        <w:spacing w:after="0"/>
        <w:ind w:firstLine="567"/>
        <w:rPr>
          <w:rFonts w:cs="Times New Roman"/>
        </w:rPr>
      </w:pPr>
      <w:r w:rsidRPr="0051476A">
        <w:rPr>
          <w:rFonts w:cs="Times New Roman"/>
        </w:rPr>
        <w:t>Por su parte, Ahuacatlán muestra ISEV bajo con IDSE medio, IIA medio e IVA bajo. Este municipio presenta la mayor cobertura de agua entubada en el hogar en la entidad además no registra casos de desnutrición (año 2011).</w:t>
      </w:r>
    </w:p>
    <w:p w14:paraId="0A667424" w14:textId="1174F474" w:rsidR="007936FB" w:rsidRPr="0051476A" w:rsidRDefault="00A21553" w:rsidP="007A4368">
      <w:pPr>
        <w:spacing w:after="0"/>
        <w:ind w:firstLine="567"/>
        <w:rPr>
          <w:rFonts w:eastAsia="Calibri" w:cs="Times New Roman"/>
        </w:rPr>
      </w:pPr>
      <w:r w:rsidRPr="0051476A">
        <w:rPr>
          <w:rFonts w:cs="Times New Roman"/>
        </w:rPr>
        <w:t xml:space="preserve">San Blas se incluye en los municipios con ISEV bajo, presenta un IDSE alto, IIA medio e IVA bajo. </w:t>
      </w:r>
      <w:r w:rsidRPr="0051476A">
        <w:rPr>
          <w:rFonts w:eastAsia="Calibri" w:cs="Times New Roman"/>
        </w:rPr>
        <w:t xml:space="preserve">En la entidad, San Blas muestra la mayor tasa bruta de actividad económica del estado (44 % de la población es económicamente activa) y la mayor densidad de carreteras pavimentadas. La proporción de población con inseguridad alimentaria moderada y severa es de 26 %. </w:t>
      </w:r>
    </w:p>
    <w:p w14:paraId="178251D6" w14:textId="284AA4BB" w:rsidR="007936FB" w:rsidRPr="0051476A" w:rsidRDefault="00A21553" w:rsidP="007A4368">
      <w:pPr>
        <w:spacing w:after="0"/>
        <w:ind w:firstLine="567"/>
        <w:rPr>
          <w:rFonts w:cs="Times New Roman"/>
        </w:rPr>
      </w:pPr>
      <w:r w:rsidRPr="0051476A">
        <w:rPr>
          <w:rFonts w:cs="Times New Roman"/>
        </w:rPr>
        <w:t xml:space="preserve">Ixtlán del Río muestra un ISEV bajo. Y los componentes de este índice se distribuyen como sigue: IDSE medio, IIA muy bajo e IVA alto. </w:t>
      </w:r>
      <w:r w:rsidRPr="0051476A">
        <w:rPr>
          <w:rFonts w:eastAsia="Calibri" w:cs="Times New Roman"/>
        </w:rPr>
        <w:t xml:space="preserve">Reporta la menor </w:t>
      </w:r>
      <w:r w:rsidR="003669FE" w:rsidRPr="0051476A">
        <w:rPr>
          <w:rFonts w:eastAsia="Calibri" w:cs="Times New Roman"/>
        </w:rPr>
        <w:t xml:space="preserve"> inseguridad alimentaria </w:t>
      </w:r>
      <w:r w:rsidRPr="0051476A">
        <w:rPr>
          <w:rFonts w:eastAsia="Calibri" w:cs="Times New Roman"/>
        </w:rPr>
        <w:t>moderada y severa en el estado (13 %).</w:t>
      </w:r>
      <w:r w:rsidRPr="0051476A">
        <w:rPr>
          <w:rFonts w:cs="Times New Roman"/>
        </w:rPr>
        <w:t xml:space="preserve"> Además, este municipio </w:t>
      </w:r>
      <w:r w:rsidRPr="0051476A">
        <w:rPr>
          <w:rFonts w:eastAsia="Calibri" w:cs="Times New Roman"/>
        </w:rPr>
        <w:t xml:space="preserve">presenta el índice de exposición más alto de la entidad: </w:t>
      </w:r>
      <w:r w:rsidRPr="0051476A">
        <w:rPr>
          <w:rFonts w:cs="Times New Roman"/>
        </w:rPr>
        <w:t xml:space="preserve">ocupó el segundo lugar en hogares con jefatura femenina (28 %) y tiene la esperanza de vida más alta del estado (80 años). </w:t>
      </w:r>
    </w:p>
    <w:p w14:paraId="7D8A4087" w14:textId="36AE21F8" w:rsidR="007936FB" w:rsidRPr="0051476A" w:rsidRDefault="00A21553" w:rsidP="007A4368">
      <w:pPr>
        <w:spacing w:after="0"/>
        <w:ind w:firstLine="567"/>
        <w:rPr>
          <w:rFonts w:cs="Times New Roman"/>
        </w:rPr>
      </w:pPr>
      <w:r w:rsidRPr="0051476A">
        <w:rPr>
          <w:rFonts w:cs="Times New Roman"/>
        </w:rPr>
        <w:lastRenderedPageBreak/>
        <w:t xml:space="preserve">En Xalisco el ISEV es bajo. Presenta un IDSE medio e índices de inseguridad y de vulnerabilidad alimentaria bajos. </w:t>
      </w:r>
      <w:r w:rsidRPr="0051476A">
        <w:rPr>
          <w:rFonts w:eastAsia="Calibri" w:cs="Times New Roman"/>
        </w:rPr>
        <w:t>Xalisco reporta bajo nivel de inseguridad alimentaria moderada o severa 19.5 (promedio estatal 25.5 %). Los indicadores que integran los índices temáticos no manifiestan alguna característica sobresaliente en este municipio.</w:t>
      </w:r>
    </w:p>
    <w:p w14:paraId="3BDA6751" w14:textId="525593D0" w:rsidR="007936FB" w:rsidRPr="0051476A" w:rsidRDefault="00A21553" w:rsidP="007A4368">
      <w:pPr>
        <w:spacing w:after="0"/>
        <w:ind w:firstLine="567"/>
        <w:rPr>
          <w:rFonts w:cs="Times New Roman"/>
        </w:rPr>
      </w:pPr>
      <w:r w:rsidRPr="0051476A">
        <w:rPr>
          <w:rFonts w:cs="Times New Roman"/>
        </w:rPr>
        <w:t xml:space="preserve">Bahía de Banderas presenta un ISEV bajo, con un IDSE alto, IIA bajo e IVA medio. En este municipio se identificó </w:t>
      </w:r>
      <w:r w:rsidRPr="0051476A">
        <w:rPr>
          <w:rFonts w:eastAsia="Calibri" w:cs="Times New Roman"/>
        </w:rPr>
        <w:t xml:space="preserve">la mayor concentración de las actividades económicas en los sectores secundario y terciario del estado, así como la mayor proporción (72 %) de población ocupada con ingresos de más de dos salarios mínimos. </w:t>
      </w:r>
      <w:r w:rsidRPr="0051476A">
        <w:rPr>
          <w:rFonts w:cs="Times New Roman"/>
        </w:rPr>
        <w:t xml:space="preserve">Bahía de Banderas tiene 21.4 % de inseguridad alimentaria moderada o severa. </w:t>
      </w:r>
    </w:p>
    <w:p w14:paraId="44BA5409" w14:textId="38147F96" w:rsidR="007936FB" w:rsidRPr="0051476A" w:rsidRDefault="00A21553" w:rsidP="007A4368">
      <w:pPr>
        <w:spacing w:after="0"/>
        <w:ind w:firstLine="567"/>
        <w:rPr>
          <w:rFonts w:cs="Times New Roman"/>
        </w:rPr>
      </w:pPr>
      <w:r w:rsidRPr="0051476A">
        <w:rPr>
          <w:rFonts w:cs="Times New Roman"/>
        </w:rPr>
        <w:t xml:space="preserve">El municipio de San Pedro Lagunillas muestra un ISEV bajo, resultado de índices de desarrollo socioeconómico e inseguridad alimentaria medios, además de un IVA muy bajo. En San Pedro Lagunillas no se registraron casos de desnutrición (año 2011), presenta el menor porcentaje de población menor de 18 años (32 %) y el mayor de población de 65 y más (12 %) del estado, tiene las mayores coberturas de salud (87 % de la población), dotación de superficie agrícola per cápita en la entidad y producción de maíz en grano y frijol. </w:t>
      </w:r>
    </w:p>
    <w:p w14:paraId="3B36AD4B" w14:textId="1F9B110E" w:rsidR="007936FB" w:rsidRPr="0051476A" w:rsidRDefault="00A21553" w:rsidP="007A4368">
      <w:pPr>
        <w:spacing w:after="0"/>
        <w:ind w:firstLine="567"/>
        <w:rPr>
          <w:rFonts w:cs="Times New Roman"/>
        </w:rPr>
      </w:pPr>
      <w:r w:rsidRPr="0051476A">
        <w:rPr>
          <w:rFonts w:cs="Times New Roman"/>
        </w:rPr>
        <w:t xml:space="preserve">Tepic, la capital, muestra un ISEV bajo. Los indicadores temáticos que integran este índice tienen esta distribución: IDSE muy alto, IIA medio e IVA bajo. Este municipio </w:t>
      </w:r>
      <w:r w:rsidRPr="0051476A">
        <w:rPr>
          <w:rFonts w:eastAsia="Calibri" w:cs="Times New Roman"/>
        </w:rPr>
        <w:t xml:space="preserve">registra la mejor situación de desarrollo socioeconómico de la entidad. Lo que más resalta es que muestra el índice de marginación más bajo y la densidad de población más alta en el estado; asimismo, </w:t>
      </w:r>
      <w:r w:rsidRPr="0051476A">
        <w:rPr>
          <w:rFonts w:cs="Times New Roman"/>
        </w:rPr>
        <w:t xml:space="preserve">presentó el mayor promedio de escolaridad (10 años) del estado. En el tema de capacidad adaptativa, el componente de vulnerabilidad registró el mayor capital humano de la entidad. </w:t>
      </w:r>
    </w:p>
    <w:p w14:paraId="735D3E9D" w14:textId="1AEA01F5" w:rsidR="007936FB" w:rsidRPr="0051476A" w:rsidRDefault="00A21553" w:rsidP="007A4368">
      <w:pPr>
        <w:spacing w:after="0"/>
        <w:ind w:firstLine="567"/>
        <w:rPr>
          <w:rFonts w:cs="Times New Roman"/>
        </w:rPr>
      </w:pPr>
      <w:r w:rsidRPr="0051476A">
        <w:rPr>
          <w:rFonts w:cs="Times New Roman"/>
        </w:rPr>
        <w:t>Amatlán de Cañas es el único municipio con un ISEV muy bajo. Presenta un IDSE medio e índices de inseguridad y vulnerabilidad alimentaria muy bajos. En este municipio lo que más resalta es que muestra el índice de exposición más bajo del estado, registra poca población menor de 18 años (33 %) y población de 65 años y más.</w:t>
      </w:r>
    </w:p>
    <w:p w14:paraId="2E3C1A2B" w14:textId="760722B0" w:rsidR="007936FB" w:rsidRPr="0051476A" w:rsidRDefault="00A21553" w:rsidP="007A4368">
      <w:pPr>
        <w:spacing w:after="0"/>
        <w:ind w:firstLine="567"/>
        <w:rPr>
          <w:rFonts w:cs="Times New Roman"/>
          <w:bCs/>
        </w:rPr>
      </w:pPr>
      <w:r w:rsidRPr="0051476A">
        <w:rPr>
          <w:rFonts w:cs="Times New Roman"/>
          <w:bCs/>
        </w:rPr>
        <w:t xml:space="preserve">En este trabajo se identifica que la deficiente dotación de carreteras pavimentadas, la baja actividad económica y el bajo nivel de escolaridad del jefe o jefa de familia son factores impulsores de vulnerabilidad a la inseguridad alimentaria. </w:t>
      </w:r>
    </w:p>
    <w:p w14:paraId="2E1AE228" w14:textId="0ACAB220" w:rsidR="007936FB" w:rsidRPr="0051476A" w:rsidRDefault="00A21553" w:rsidP="007A4368">
      <w:pPr>
        <w:spacing w:after="0"/>
        <w:ind w:firstLine="567"/>
        <w:rPr>
          <w:rFonts w:cs="Times New Roman"/>
          <w:bCs/>
        </w:rPr>
      </w:pPr>
      <w:r w:rsidRPr="0051476A">
        <w:rPr>
          <w:rFonts w:cs="Times New Roman"/>
          <w:bCs/>
        </w:rPr>
        <w:t xml:space="preserve">Es relevante destacar que se advierte que donde existe deficiente dotación de carreteras pavimentadas se identifica mayor vulnerabilidad a la inseguridad alimentaria; esto refuerza la </w:t>
      </w:r>
      <w:r w:rsidRPr="0051476A">
        <w:rPr>
          <w:rFonts w:cs="Times New Roman"/>
          <w:bCs/>
        </w:rPr>
        <w:lastRenderedPageBreak/>
        <w:t>conceptualización de la seguridad alimentaria que considera, además de la disponibilidad, el acceso físico de los alimentos.</w:t>
      </w:r>
    </w:p>
    <w:p w14:paraId="2F3C8F79" w14:textId="77DB04D6" w:rsidR="007936FB" w:rsidRPr="0051476A" w:rsidRDefault="00A21553" w:rsidP="007A4368">
      <w:pPr>
        <w:spacing w:after="0"/>
        <w:ind w:firstLine="567"/>
        <w:rPr>
          <w:rFonts w:cs="Times New Roman"/>
          <w:bCs/>
        </w:rPr>
      </w:pPr>
      <w:r w:rsidRPr="0051476A">
        <w:rPr>
          <w:rFonts w:cs="Times New Roman"/>
          <w:bCs/>
        </w:rPr>
        <w:t xml:space="preserve">Identificar a la baja actividad económica como impulsor de vulnerabilidad es recurrente. La FAO, la Organización Panamericana de la Salud [OPS], el Programa Mundial de Alimentos [PMA] y el Fondo de las Naciones Unidas para la Infancia [Unicef] (2018) consideran que la seguridad alimentaria está relacionada con la falta de ingresos más que con la falta de alimentos, ya que, aunque exista disponibilidad de alimentos, pudiera verse restringido el acceso por no disponer de un ingreso económico suficiente en el hogar. </w:t>
      </w:r>
    </w:p>
    <w:p w14:paraId="0605ECE5" w14:textId="3BB4644B" w:rsidR="007936FB" w:rsidRPr="0051476A" w:rsidRDefault="00A21553" w:rsidP="007A4368">
      <w:pPr>
        <w:spacing w:after="0"/>
        <w:ind w:firstLine="567"/>
        <w:rPr>
          <w:rFonts w:cs="Times New Roman"/>
          <w:bCs/>
        </w:rPr>
      </w:pPr>
      <w:r w:rsidRPr="0051476A">
        <w:rPr>
          <w:rFonts w:cs="Times New Roman"/>
          <w:bCs/>
        </w:rPr>
        <w:t>La vulnerabilidad de la seguridad alimentaria se refiere a toda la gama de factores que hacen que las personas queden expuestas a inseguridad alimentaria. El bajo nivel de escolaridad del jefe de familia como impulsor de la vulnerabilidad en el tema alimentario confirma que es, de origen, un problema a considerar para futuras acciones. Ya que el bajo nivel de escolaridad del jefe de familia se encuentra correlacionado con una mayor prevalencia de inseguridad alimentaria (Valencia y Ortiz, 2014; FAO, Fondo Internacional de Desarrollo Agrícola [FIDA] y PMA, 2015; Mundo, Méndez y Shamah, 2014; De Muro, 2007). De manera similar se ha reportado (Cruz y Maldonado, 2017) que el nivel de escolaridad es el principal determinante en la inseguridad alimentaria. Asimismo, Díaz, Sánchez y Díaz</w:t>
      </w:r>
      <w:r w:rsidRPr="0051476A" w:rsidDel="00F63ACC">
        <w:rPr>
          <w:rFonts w:cs="Times New Roman"/>
          <w:bCs/>
          <w:i/>
        </w:rPr>
        <w:t xml:space="preserve"> </w:t>
      </w:r>
      <w:r w:rsidRPr="0051476A">
        <w:rPr>
          <w:rFonts w:cs="Times New Roman"/>
          <w:bCs/>
        </w:rPr>
        <w:t xml:space="preserve">(2016) identifican que la escolaridad es la que más contribuye en la explicación de la inseguridad alimentaria severa en los estados de México. Se trata una capacidad que permite incrementar en las personas la oportunidad de incorporarse al sistema laboral con un ingreso suficiente para asegurar una alimentación suficiente y de calidad en los hogares. Además, el nivel de escolaridad, traducido en educación, asegura que el jefe de familia tome mejores decisiones en el consumo de alimentos de calidad nutricional. </w:t>
      </w:r>
    </w:p>
    <w:p w14:paraId="29D042B5" w14:textId="7DB3DA79" w:rsidR="007936FB" w:rsidRPr="0051476A" w:rsidRDefault="00A21553" w:rsidP="007A4368">
      <w:pPr>
        <w:spacing w:after="0"/>
        <w:ind w:firstLine="567"/>
        <w:rPr>
          <w:rFonts w:eastAsia="Calibri" w:cs="Times New Roman"/>
        </w:rPr>
      </w:pPr>
      <w:r w:rsidRPr="0051476A">
        <w:rPr>
          <w:rFonts w:cs="Times New Roman"/>
          <w:bCs/>
        </w:rPr>
        <w:t>Finalmente,</w:t>
      </w:r>
      <w:r w:rsidRPr="0051476A">
        <w:rPr>
          <w:rFonts w:cs="Times New Roman"/>
          <w:b/>
        </w:rPr>
        <w:t xml:space="preserve"> </w:t>
      </w:r>
      <w:r w:rsidRPr="0051476A">
        <w:rPr>
          <w:rFonts w:cs="Times New Roman"/>
        </w:rPr>
        <w:t xml:space="preserve">el ISEV representa una evaluación actual e integral; permite identificar quiénes son más vulnerables; muestra que los municipios con alta y muy alta vulnerabilidad alimentaria global se ubican principalmente en las regiones Sierra y Norte de la entidad, en cambio los municipios identificados con muy baja o baja vulnerabilidad alimentaria global se distribuyen mayormente en las regiones Centro y Sur. Por su parte, la distribución de vulnerabilidad global media es irregular, varía según el nivel socioeconómico </w:t>
      </w:r>
      <w:r w:rsidRPr="0051476A">
        <w:rPr>
          <w:rFonts w:eastAsia="Calibri" w:cs="Times New Roman"/>
        </w:rPr>
        <w:t xml:space="preserve">y educativo. Estos resultados coinciden con Seguinot (2016) en su análisis de vulnerabilidad aplicado al cambio climático; además, el nivel educativo también ha sido asociado con la inseguridad </w:t>
      </w:r>
      <w:r w:rsidRPr="0051476A">
        <w:rPr>
          <w:rFonts w:eastAsia="Calibri" w:cs="Times New Roman"/>
        </w:rPr>
        <w:lastRenderedPageBreak/>
        <w:t xml:space="preserve">alimentaria (De Haro </w:t>
      </w:r>
      <w:r w:rsidRPr="0051476A">
        <w:rPr>
          <w:rFonts w:eastAsia="Calibri" w:cs="Times New Roman"/>
          <w:i/>
        </w:rPr>
        <w:t>et al</w:t>
      </w:r>
      <w:r w:rsidRPr="0051476A">
        <w:rPr>
          <w:rFonts w:eastAsia="Calibri" w:cs="Times New Roman"/>
        </w:rPr>
        <w:t xml:space="preserve">. 2014; De Haro y Marceleño, 2018; Valencia y Ortiz, 2014; Mundo </w:t>
      </w:r>
      <w:r w:rsidRPr="0051476A">
        <w:rPr>
          <w:rFonts w:eastAsia="Calibri" w:cs="Times New Roman"/>
          <w:i/>
          <w:iCs/>
        </w:rPr>
        <w:t>et al.</w:t>
      </w:r>
      <w:r w:rsidRPr="0051476A">
        <w:rPr>
          <w:rFonts w:eastAsia="Calibri" w:cs="Times New Roman"/>
        </w:rPr>
        <w:t>, 2014).</w:t>
      </w:r>
    </w:p>
    <w:p w14:paraId="23AAE9F4" w14:textId="77777777" w:rsidR="004F4C7C" w:rsidRPr="0051476A" w:rsidRDefault="004F4C7C" w:rsidP="007A4368">
      <w:pPr>
        <w:spacing w:after="0"/>
        <w:ind w:firstLine="567"/>
        <w:rPr>
          <w:rFonts w:eastAsia="Calibri" w:cs="Times New Roman"/>
        </w:rPr>
      </w:pPr>
    </w:p>
    <w:p w14:paraId="54EA22E2" w14:textId="77D153DB" w:rsidR="007936FB" w:rsidRPr="0051476A" w:rsidRDefault="00A21553" w:rsidP="007A4368">
      <w:pPr>
        <w:spacing w:after="0"/>
        <w:jc w:val="center"/>
        <w:rPr>
          <w:rFonts w:cs="Times New Roman"/>
          <w:b/>
          <w:color w:val="FF0000"/>
        </w:rPr>
      </w:pPr>
      <w:r w:rsidRPr="0051476A">
        <w:rPr>
          <w:rFonts w:cs="Times New Roman"/>
          <w:b/>
          <w:sz w:val="32"/>
          <w:szCs w:val="32"/>
        </w:rPr>
        <w:t>Conclusiones</w:t>
      </w:r>
    </w:p>
    <w:p w14:paraId="79B406AD" w14:textId="092716E9" w:rsidR="007936FB" w:rsidRPr="0051476A" w:rsidRDefault="00A21553" w:rsidP="007A4368">
      <w:pPr>
        <w:spacing w:after="0"/>
        <w:ind w:firstLine="567"/>
        <w:rPr>
          <w:rFonts w:cs="Times New Roman"/>
          <w:color w:val="FF0000"/>
        </w:rPr>
      </w:pPr>
      <w:r w:rsidRPr="0051476A">
        <w:rPr>
          <w:rFonts w:cs="Times New Roman"/>
        </w:rPr>
        <w:t xml:space="preserve">El </w:t>
      </w:r>
      <w:r w:rsidRPr="0051476A">
        <w:rPr>
          <w:rFonts w:cs="Times New Roman"/>
          <w:bCs/>
        </w:rPr>
        <w:t>ISEV</w:t>
      </w:r>
      <w:r w:rsidRPr="0051476A">
        <w:rPr>
          <w:rFonts w:cs="Times New Roman"/>
        </w:rPr>
        <w:t xml:space="preserve"> se puede usar como instrumento para formular direcciones básicas de políticas y acciones en el tema alimentario, ya que provee información sobre dónde se localizan los más vulnerables, que son los que requieren atención inmediata. Complementariamente ofrece información sobre las condiciones que colocan a esta población en situación de vulnerabilidad y que representan un reto a vencer para los gobiernos locales. La vulnerabilidad depende de cada contexto y requiere políticas adecuadas para distintos territorios.</w:t>
      </w:r>
    </w:p>
    <w:p w14:paraId="42EF2F81" w14:textId="76D3587C" w:rsidR="007936FB" w:rsidRPr="0051476A" w:rsidRDefault="00A21553" w:rsidP="007A4368">
      <w:pPr>
        <w:spacing w:after="0"/>
        <w:ind w:firstLine="567"/>
        <w:rPr>
          <w:rFonts w:cs="Times New Roman"/>
        </w:rPr>
      </w:pPr>
      <w:r w:rsidRPr="0051476A">
        <w:rPr>
          <w:rFonts w:cs="Times New Roman"/>
        </w:rPr>
        <w:t xml:space="preserve">Hacer una observación en el tema de vulnerabilidad alimentaria a nivel municipal ha sido un gran logro debido a que existen limitantes en la disponibilidad de información, especialmente si se incluye la opinión de las personas, como se hizo en este trabajo. Pero se debe reconocer que el análisis puede ocultar una vulnerabilidad muy puntual a nivel localidad. Es posible que, en una observación más detallada, se pueda obtener información que permita focalizar y priorizar los esfuerzos institucionales a nivel localidad o menor para reducir la vulnerabilidad alimentaria en Nayarit. </w:t>
      </w:r>
    </w:p>
    <w:p w14:paraId="490E522D" w14:textId="77777777" w:rsidR="007936FB" w:rsidRDefault="007936FB" w:rsidP="007A4368">
      <w:pPr>
        <w:spacing w:after="0"/>
        <w:ind w:left="709" w:hanging="709"/>
        <w:rPr>
          <w:rFonts w:cs="Times New Roman"/>
          <w:b/>
        </w:rPr>
      </w:pPr>
    </w:p>
    <w:p w14:paraId="6EDE0D01" w14:textId="77777777" w:rsidR="004F4C7C" w:rsidRDefault="004F4C7C" w:rsidP="007A4368">
      <w:pPr>
        <w:spacing w:after="0"/>
        <w:ind w:left="709" w:hanging="709"/>
        <w:rPr>
          <w:rFonts w:cs="Times New Roman"/>
          <w:b/>
        </w:rPr>
      </w:pPr>
    </w:p>
    <w:p w14:paraId="57A5D79F" w14:textId="77777777" w:rsidR="004F4C7C" w:rsidRDefault="004F4C7C" w:rsidP="007A4368">
      <w:pPr>
        <w:spacing w:after="0"/>
        <w:ind w:left="709" w:hanging="709"/>
        <w:rPr>
          <w:rFonts w:cs="Times New Roman"/>
          <w:b/>
        </w:rPr>
      </w:pPr>
    </w:p>
    <w:p w14:paraId="104DDD22" w14:textId="77777777" w:rsidR="004F4C7C" w:rsidRDefault="004F4C7C" w:rsidP="007A4368">
      <w:pPr>
        <w:spacing w:after="0"/>
        <w:ind w:left="709" w:hanging="709"/>
        <w:rPr>
          <w:rFonts w:cs="Times New Roman"/>
          <w:b/>
        </w:rPr>
      </w:pPr>
    </w:p>
    <w:p w14:paraId="16292A2F" w14:textId="77777777" w:rsidR="004F4C7C" w:rsidRDefault="004F4C7C" w:rsidP="007A4368">
      <w:pPr>
        <w:spacing w:after="0"/>
        <w:ind w:left="709" w:hanging="709"/>
        <w:rPr>
          <w:rFonts w:cs="Times New Roman"/>
          <w:b/>
        </w:rPr>
      </w:pPr>
    </w:p>
    <w:p w14:paraId="444415D4" w14:textId="77777777" w:rsidR="004F4C7C" w:rsidRDefault="004F4C7C" w:rsidP="007A4368">
      <w:pPr>
        <w:spacing w:after="0"/>
        <w:ind w:left="709" w:hanging="709"/>
        <w:rPr>
          <w:rFonts w:cs="Times New Roman"/>
          <w:b/>
        </w:rPr>
      </w:pPr>
    </w:p>
    <w:p w14:paraId="03064E2C" w14:textId="77777777" w:rsidR="004F4C7C" w:rsidRDefault="004F4C7C" w:rsidP="007A4368">
      <w:pPr>
        <w:spacing w:after="0"/>
        <w:ind w:left="709" w:hanging="709"/>
        <w:rPr>
          <w:rFonts w:cs="Times New Roman"/>
          <w:b/>
        </w:rPr>
      </w:pPr>
    </w:p>
    <w:p w14:paraId="23F18D88" w14:textId="77777777" w:rsidR="004F4C7C" w:rsidRDefault="004F4C7C" w:rsidP="007A4368">
      <w:pPr>
        <w:spacing w:after="0"/>
        <w:ind w:left="709" w:hanging="709"/>
        <w:rPr>
          <w:rFonts w:cs="Times New Roman"/>
          <w:b/>
        </w:rPr>
      </w:pPr>
    </w:p>
    <w:p w14:paraId="04CF5FF2" w14:textId="77777777" w:rsidR="004F4C7C" w:rsidRDefault="004F4C7C" w:rsidP="007A4368">
      <w:pPr>
        <w:spacing w:after="0"/>
        <w:ind w:left="709" w:hanging="709"/>
        <w:rPr>
          <w:rFonts w:cs="Times New Roman"/>
          <w:b/>
        </w:rPr>
      </w:pPr>
    </w:p>
    <w:p w14:paraId="22A0809C" w14:textId="77777777" w:rsidR="004F4C7C" w:rsidRDefault="004F4C7C" w:rsidP="007A4368">
      <w:pPr>
        <w:spacing w:after="0"/>
        <w:ind w:left="709" w:hanging="709"/>
        <w:rPr>
          <w:rFonts w:cs="Times New Roman"/>
          <w:b/>
        </w:rPr>
      </w:pPr>
    </w:p>
    <w:p w14:paraId="0272B545" w14:textId="77777777" w:rsidR="004F4C7C" w:rsidRDefault="004F4C7C" w:rsidP="007A4368">
      <w:pPr>
        <w:spacing w:after="0"/>
        <w:ind w:left="709" w:hanging="709"/>
        <w:rPr>
          <w:rFonts w:cs="Times New Roman"/>
          <w:b/>
        </w:rPr>
      </w:pPr>
    </w:p>
    <w:p w14:paraId="05A0CE52" w14:textId="77777777" w:rsidR="004F4C7C" w:rsidRDefault="004F4C7C" w:rsidP="007A4368">
      <w:pPr>
        <w:spacing w:after="0"/>
        <w:ind w:left="709" w:hanging="709"/>
        <w:rPr>
          <w:rFonts w:cs="Times New Roman"/>
          <w:b/>
        </w:rPr>
      </w:pPr>
    </w:p>
    <w:p w14:paraId="0517C064" w14:textId="77777777" w:rsidR="004F4C7C" w:rsidRDefault="004F4C7C" w:rsidP="007A4368">
      <w:pPr>
        <w:spacing w:after="0"/>
        <w:ind w:left="709" w:hanging="709"/>
        <w:rPr>
          <w:rFonts w:cs="Times New Roman"/>
          <w:b/>
        </w:rPr>
      </w:pPr>
    </w:p>
    <w:p w14:paraId="7B3C60F5" w14:textId="77777777" w:rsidR="004F4C7C" w:rsidRPr="0051476A" w:rsidRDefault="004F4C7C" w:rsidP="007A4368">
      <w:pPr>
        <w:spacing w:after="0"/>
        <w:ind w:left="709" w:hanging="709"/>
        <w:rPr>
          <w:rFonts w:cs="Times New Roman"/>
          <w:b/>
        </w:rPr>
      </w:pPr>
    </w:p>
    <w:p w14:paraId="5969A7B1" w14:textId="24F693B2" w:rsidR="007936FB" w:rsidRPr="004F4C7C" w:rsidRDefault="00A21553" w:rsidP="007A4368">
      <w:pPr>
        <w:spacing w:after="0"/>
        <w:ind w:left="709" w:hanging="709"/>
        <w:rPr>
          <w:rFonts w:asciiTheme="minorHAnsi" w:eastAsia="Times New Roman" w:hAnsiTheme="minorHAnsi" w:cstheme="minorHAnsi"/>
          <w:b/>
          <w:color w:val="000000"/>
          <w:sz w:val="28"/>
          <w:szCs w:val="28"/>
          <w:lang w:val="es-ES" w:eastAsia="es-ES"/>
        </w:rPr>
      </w:pPr>
      <w:r w:rsidRPr="004F4C7C">
        <w:rPr>
          <w:rFonts w:asciiTheme="minorHAnsi" w:eastAsia="Times New Roman" w:hAnsiTheme="minorHAnsi" w:cstheme="minorHAnsi"/>
          <w:b/>
          <w:color w:val="000000"/>
          <w:sz w:val="28"/>
          <w:szCs w:val="28"/>
          <w:lang w:val="es-ES" w:eastAsia="es-ES"/>
        </w:rPr>
        <w:lastRenderedPageBreak/>
        <w:t>Referencias</w:t>
      </w:r>
    </w:p>
    <w:p w14:paraId="455305D2" w14:textId="05C709E3" w:rsidR="007936FB" w:rsidRPr="0051476A" w:rsidRDefault="00A21553" w:rsidP="007A4368">
      <w:pPr>
        <w:spacing w:after="0"/>
        <w:ind w:left="709" w:hanging="709"/>
        <w:rPr>
          <w:rFonts w:cs="Times New Roman"/>
        </w:rPr>
      </w:pPr>
      <w:r w:rsidRPr="0051476A">
        <w:rPr>
          <w:rFonts w:cs="Times New Roman"/>
        </w:rPr>
        <w:t xml:space="preserve">Bas, M. C. (2014). </w:t>
      </w:r>
      <w:r w:rsidRPr="0051476A">
        <w:rPr>
          <w:rFonts w:cs="Times New Roman"/>
          <w:i/>
        </w:rPr>
        <w:t>Estrategia metodológica para la construcción de indicadores compuestos en la gestión universitaria</w:t>
      </w:r>
      <w:r w:rsidRPr="0051476A">
        <w:rPr>
          <w:rFonts w:cs="Times New Roman"/>
        </w:rPr>
        <w:t xml:space="preserve">. (tesis doctoral). Universitat Politècnica de Valencia, Valencia, España. </w:t>
      </w:r>
    </w:p>
    <w:p w14:paraId="1D131EEF" w14:textId="77777777" w:rsidR="007936FB" w:rsidRPr="0051476A" w:rsidRDefault="00A21553" w:rsidP="007A4368">
      <w:pPr>
        <w:spacing w:after="0"/>
        <w:ind w:left="709" w:hanging="709"/>
        <w:rPr>
          <w:rFonts w:cs="Times New Roman"/>
        </w:rPr>
      </w:pPr>
      <w:r w:rsidRPr="0051476A">
        <w:rPr>
          <w:rFonts w:cs="Times New Roman"/>
        </w:rPr>
        <w:t xml:space="preserve">Bengoa, J. (1996). Pobreza y vulnerabilidad. </w:t>
      </w:r>
      <w:r w:rsidRPr="0051476A">
        <w:rPr>
          <w:rFonts w:cs="Times New Roman"/>
          <w:i/>
        </w:rPr>
        <w:t>Temas Sociales</w:t>
      </w:r>
      <w:r w:rsidRPr="0051476A">
        <w:rPr>
          <w:rFonts w:cs="Times New Roman"/>
        </w:rPr>
        <w:t xml:space="preserve">, </w:t>
      </w:r>
      <w:r w:rsidRPr="0051476A">
        <w:rPr>
          <w:rFonts w:cs="Times New Roman"/>
          <w:i/>
        </w:rPr>
        <w:t>10</w:t>
      </w:r>
      <w:r w:rsidRPr="0051476A">
        <w:rPr>
          <w:rFonts w:cs="Times New Roman"/>
        </w:rPr>
        <w:t>(4), 23-38.</w:t>
      </w:r>
    </w:p>
    <w:p w14:paraId="019681E8" w14:textId="0CE99299" w:rsidR="007936FB" w:rsidRPr="0051476A" w:rsidRDefault="00A21553" w:rsidP="007A4368">
      <w:pPr>
        <w:spacing w:after="0"/>
        <w:ind w:left="709" w:hanging="709"/>
        <w:rPr>
          <w:rFonts w:cs="Times New Roman"/>
        </w:rPr>
      </w:pPr>
      <w:r w:rsidRPr="0051476A">
        <w:rPr>
          <w:rFonts w:cs="Times New Roman"/>
        </w:rPr>
        <w:t xml:space="preserve">Consejo Nacional de Evaluación de la Política de Desarrollo Social [Coneval]. (2017). </w:t>
      </w:r>
      <w:r w:rsidRPr="0051476A">
        <w:rPr>
          <w:rFonts w:cs="Times New Roman"/>
          <w:i/>
          <w:iCs/>
        </w:rPr>
        <w:t>Pobreza en los municipios de México, 2015</w:t>
      </w:r>
      <w:r w:rsidRPr="0051476A">
        <w:rPr>
          <w:rFonts w:cs="Times New Roman"/>
        </w:rPr>
        <w:t>. México: Consejo Nacional de Evaluación de la Política de Desarrollo Social. Recuperado de www.coneval.org.mx/Medicion/Documents/Pobreza_municipal/Presentacion_resultados_pobreza_municipal_2015.pdf.</w:t>
      </w:r>
    </w:p>
    <w:p w14:paraId="060254E9" w14:textId="77777777" w:rsidR="007936FB" w:rsidRPr="0051476A" w:rsidRDefault="00A21553" w:rsidP="007A4368">
      <w:pPr>
        <w:spacing w:after="0"/>
        <w:ind w:left="709" w:hanging="709"/>
        <w:rPr>
          <w:rFonts w:cs="Times New Roman"/>
          <w:bCs/>
          <w:lang w:val="en-US"/>
        </w:rPr>
      </w:pPr>
      <w:r w:rsidRPr="0051476A">
        <w:rPr>
          <w:rFonts w:cs="Times New Roman"/>
          <w:bCs/>
        </w:rPr>
        <w:t xml:space="preserve">Cruz, J. y Maldonado. L. (2017). Incidencia del ingreso familiar y la educación en el acceso a la canasta básica familiar en Ecuador. </w:t>
      </w:r>
      <w:proofErr w:type="spellStart"/>
      <w:r w:rsidRPr="0051476A">
        <w:rPr>
          <w:rFonts w:cs="Times New Roman"/>
          <w:bCs/>
          <w:i/>
          <w:lang w:val="en-US"/>
        </w:rPr>
        <w:t>Revista</w:t>
      </w:r>
      <w:proofErr w:type="spellEnd"/>
      <w:r w:rsidRPr="0051476A">
        <w:rPr>
          <w:rFonts w:cs="Times New Roman"/>
          <w:bCs/>
          <w:i/>
          <w:lang w:val="en-US"/>
        </w:rPr>
        <w:t xml:space="preserve"> </w:t>
      </w:r>
      <w:proofErr w:type="spellStart"/>
      <w:r w:rsidRPr="0051476A">
        <w:rPr>
          <w:rFonts w:cs="Times New Roman"/>
          <w:bCs/>
          <w:i/>
          <w:lang w:val="en-US"/>
        </w:rPr>
        <w:t>Económica</w:t>
      </w:r>
      <w:proofErr w:type="spellEnd"/>
      <w:r w:rsidRPr="0051476A">
        <w:rPr>
          <w:rFonts w:cs="Times New Roman"/>
          <w:bCs/>
          <w:lang w:val="en-US"/>
        </w:rPr>
        <w:t xml:space="preserve">, </w:t>
      </w:r>
      <w:r w:rsidRPr="0051476A">
        <w:rPr>
          <w:rFonts w:cs="Times New Roman"/>
          <w:bCs/>
          <w:i/>
          <w:lang w:val="en-US"/>
        </w:rPr>
        <w:t>3</w:t>
      </w:r>
      <w:r w:rsidRPr="0051476A">
        <w:rPr>
          <w:rFonts w:cs="Times New Roman"/>
          <w:bCs/>
          <w:iCs/>
          <w:lang w:val="en-US"/>
        </w:rPr>
        <w:t>(1),</w:t>
      </w:r>
      <w:r w:rsidRPr="0051476A">
        <w:rPr>
          <w:rFonts w:cs="Times New Roman"/>
          <w:bCs/>
          <w:lang w:val="en-US"/>
        </w:rPr>
        <w:t xml:space="preserve"> 19-31.</w:t>
      </w:r>
    </w:p>
    <w:p w14:paraId="228027E5" w14:textId="454D5684" w:rsidR="007936FB" w:rsidRPr="0051476A" w:rsidRDefault="00A21553" w:rsidP="007A4368">
      <w:pPr>
        <w:spacing w:after="0"/>
        <w:ind w:left="709" w:hanging="709"/>
        <w:rPr>
          <w:rFonts w:cs="Times New Roman"/>
          <w:lang w:val="en-US"/>
        </w:rPr>
      </w:pPr>
      <w:r w:rsidRPr="0051476A">
        <w:rPr>
          <w:rFonts w:cs="Times New Roman"/>
          <w:lang w:val="en-US"/>
        </w:rPr>
        <w:t xml:space="preserve">Chaudhuri, S. and </w:t>
      </w:r>
      <w:proofErr w:type="spellStart"/>
      <w:r w:rsidRPr="0051476A">
        <w:rPr>
          <w:rFonts w:cs="Times New Roman"/>
          <w:lang w:val="en-US"/>
        </w:rPr>
        <w:t>Datt</w:t>
      </w:r>
      <w:proofErr w:type="spellEnd"/>
      <w:r w:rsidRPr="0051476A">
        <w:rPr>
          <w:rFonts w:cs="Times New Roman"/>
          <w:lang w:val="en-US"/>
        </w:rPr>
        <w:t>, G. (2001). Assessing household vulnerability to poverty: a methodology and estimates for the Philippines. Paper presented at the 3</w:t>
      </w:r>
      <w:r w:rsidRPr="0051476A">
        <w:rPr>
          <w:rFonts w:cs="Times New Roman"/>
          <w:vertAlign w:val="superscript"/>
          <w:lang w:val="en-US"/>
        </w:rPr>
        <w:t>rd</w:t>
      </w:r>
      <w:r w:rsidRPr="0051476A">
        <w:rPr>
          <w:rFonts w:cs="Times New Roman"/>
          <w:lang w:val="en-US"/>
        </w:rPr>
        <w:t xml:space="preserve"> Asian Development Forum. Bangkok, June 2001.</w:t>
      </w:r>
    </w:p>
    <w:p w14:paraId="2987327B" w14:textId="77777777" w:rsidR="007936FB" w:rsidRPr="0051476A" w:rsidRDefault="00A21553" w:rsidP="007A4368">
      <w:pPr>
        <w:spacing w:after="0"/>
        <w:ind w:left="709" w:hanging="709"/>
        <w:rPr>
          <w:rFonts w:cs="Times New Roman"/>
        </w:rPr>
      </w:pPr>
      <w:r w:rsidRPr="0051476A">
        <w:rPr>
          <w:rFonts w:cs="Times New Roman"/>
        </w:rPr>
        <w:t xml:space="preserve">De Haro, R. y Marceleño, S. (2018). Seguridad alimentaria en localidades rurales y urbanas en Nayarit, México. </w:t>
      </w:r>
      <w:r w:rsidRPr="0051476A">
        <w:rPr>
          <w:rFonts w:cs="Times New Roman"/>
          <w:i/>
        </w:rPr>
        <w:t>Visum Mundi</w:t>
      </w:r>
      <w:r w:rsidRPr="0051476A">
        <w:rPr>
          <w:rFonts w:cs="Times New Roman"/>
        </w:rPr>
        <w:t>,</w:t>
      </w:r>
      <w:r w:rsidRPr="0051476A">
        <w:rPr>
          <w:rFonts w:cs="Times New Roman"/>
          <w:i/>
        </w:rPr>
        <w:t xml:space="preserve"> 2</w:t>
      </w:r>
      <w:r w:rsidRPr="0051476A">
        <w:rPr>
          <w:rFonts w:cs="Times New Roman"/>
        </w:rPr>
        <w:t>(1), 121-126.</w:t>
      </w:r>
    </w:p>
    <w:p w14:paraId="42A84FF2" w14:textId="77777777" w:rsidR="007936FB" w:rsidRPr="0051476A" w:rsidRDefault="00A21553" w:rsidP="007A4368">
      <w:pPr>
        <w:spacing w:after="0"/>
        <w:ind w:left="709" w:hanging="709"/>
        <w:rPr>
          <w:rFonts w:cs="Times New Roman"/>
          <w:lang w:val="en-US"/>
        </w:rPr>
      </w:pPr>
      <w:r w:rsidRPr="0051476A">
        <w:rPr>
          <w:rFonts w:cs="Times New Roman"/>
        </w:rPr>
        <w:t xml:space="preserve">De Haro, R., Marceleño, S., Garibay, G., Curiel, A. y Bojórquez, I. (2014). El alimento como eje interdisciplinario y sistémico en la educación para el desarrollo sustentable. </w:t>
      </w:r>
      <w:proofErr w:type="spellStart"/>
      <w:r w:rsidRPr="0051476A">
        <w:rPr>
          <w:rFonts w:cs="Times New Roman"/>
          <w:i/>
          <w:lang w:val="en-US"/>
        </w:rPr>
        <w:t>Revista</w:t>
      </w:r>
      <w:proofErr w:type="spellEnd"/>
      <w:r w:rsidRPr="0051476A">
        <w:rPr>
          <w:rFonts w:cs="Times New Roman"/>
          <w:i/>
          <w:lang w:val="en-US"/>
        </w:rPr>
        <w:t xml:space="preserve"> </w:t>
      </w:r>
      <w:proofErr w:type="spellStart"/>
      <w:r w:rsidRPr="0051476A">
        <w:rPr>
          <w:rFonts w:cs="Times New Roman"/>
          <w:i/>
          <w:lang w:val="en-US"/>
        </w:rPr>
        <w:t>educarnos</w:t>
      </w:r>
      <w:proofErr w:type="spellEnd"/>
      <w:r w:rsidRPr="0051476A">
        <w:rPr>
          <w:rFonts w:cs="Times New Roman"/>
          <w:lang w:val="en-US"/>
        </w:rPr>
        <w:t xml:space="preserve">, </w:t>
      </w:r>
      <w:r w:rsidRPr="0051476A">
        <w:rPr>
          <w:rFonts w:cs="Times New Roman"/>
          <w:i/>
          <w:lang w:val="en-US"/>
        </w:rPr>
        <w:t>4</w:t>
      </w:r>
      <w:r w:rsidRPr="0051476A">
        <w:rPr>
          <w:rFonts w:cs="Times New Roman"/>
          <w:lang w:val="en-US"/>
        </w:rPr>
        <w:t>(14-15), 11-26.</w:t>
      </w:r>
    </w:p>
    <w:p w14:paraId="4E0FBC09" w14:textId="07729202" w:rsidR="007936FB" w:rsidRPr="0051476A" w:rsidRDefault="00A21553" w:rsidP="007A4368">
      <w:pPr>
        <w:spacing w:after="0"/>
        <w:ind w:left="709" w:hanging="709"/>
        <w:rPr>
          <w:rFonts w:cs="Times New Roman"/>
          <w:bCs/>
          <w:lang w:val="en-US"/>
        </w:rPr>
      </w:pPr>
      <w:r w:rsidRPr="0051476A">
        <w:rPr>
          <w:rFonts w:cs="Times New Roman"/>
          <w:bCs/>
          <w:lang w:val="en-US"/>
        </w:rPr>
        <w:t xml:space="preserve">De </w:t>
      </w:r>
      <w:proofErr w:type="spellStart"/>
      <w:r w:rsidRPr="0051476A">
        <w:rPr>
          <w:rFonts w:cs="Times New Roman"/>
          <w:bCs/>
          <w:lang w:val="en-US"/>
        </w:rPr>
        <w:t>Muro</w:t>
      </w:r>
      <w:proofErr w:type="spellEnd"/>
      <w:r w:rsidRPr="0051476A">
        <w:rPr>
          <w:rFonts w:cs="Times New Roman"/>
          <w:bCs/>
          <w:lang w:val="en-US"/>
        </w:rPr>
        <w:t xml:space="preserve">, P and </w:t>
      </w:r>
      <w:proofErr w:type="spellStart"/>
      <w:r w:rsidRPr="0051476A">
        <w:rPr>
          <w:rFonts w:cs="Times New Roman"/>
          <w:bCs/>
          <w:lang w:val="en-US"/>
        </w:rPr>
        <w:t>Burchi</w:t>
      </w:r>
      <w:proofErr w:type="spellEnd"/>
      <w:r w:rsidRPr="0051476A">
        <w:rPr>
          <w:rFonts w:cs="Times New Roman"/>
          <w:bCs/>
          <w:lang w:val="en-US"/>
        </w:rPr>
        <w:t xml:space="preserve">, F. (2007). Education for rural people: a neglected key to food security. </w:t>
      </w:r>
      <w:r w:rsidRPr="0051476A">
        <w:rPr>
          <w:rFonts w:cs="Times New Roman"/>
          <w:bCs/>
          <w:i/>
          <w:iCs/>
          <w:lang w:val="en-US"/>
        </w:rPr>
        <w:t>Departmental Working Papers of Economics - University Roma Tre</w:t>
      </w:r>
      <w:r w:rsidRPr="0051476A">
        <w:rPr>
          <w:rFonts w:cs="Times New Roman"/>
          <w:bCs/>
          <w:lang w:val="en-US"/>
        </w:rPr>
        <w:t xml:space="preserve">, 0078. </w:t>
      </w:r>
    </w:p>
    <w:p w14:paraId="4CAD8195" w14:textId="718AFF4C" w:rsidR="007936FB" w:rsidRPr="0051476A" w:rsidRDefault="00A21553" w:rsidP="007A4368">
      <w:pPr>
        <w:spacing w:after="0"/>
        <w:ind w:left="709" w:hanging="709"/>
        <w:rPr>
          <w:rFonts w:cs="Times New Roman"/>
          <w:bCs/>
        </w:rPr>
      </w:pPr>
      <w:r w:rsidRPr="0051476A">
        <w:rPr>
          <w:rFonts w:cs="Times New Roman"/>
          <w:bCs/>
          <w:lang w:val="en-US"/>
        </w:rPr>
        <w:t xml:space="preserve">Díaz, M. Á., Sánchez, M. y Díaz, A. (2016). </w:t>
      </w:r>
      <w:r w:rsidRPr="0051476A">
        <w:rPr>
          <w:rFonts w:cs="Times New Roman"/>
          <w:bCs/>
        </w:rPr>
        <w:t xml:space="preserve">Inseguridad alimentaria en los estados de México: un estudio de sus principales determinantes. </w:t>
      </w:r>
      <w:r w:rsidRPr="0051476A">
        <w:rPr>
          <w:rFonts w:cs="Times New Roman"/>
          <w:bCs/>
          <w:i/>
        </w:rPr>
        <w:t>Economía, sociedad y territorio, 16</w:t>
      </w:r>
      <w:r w:rsidRPr="0051476A">
        <w:rPr>
          <w:rFonts w:cs="Times New Roman"/>
          <w:bCs/>
        </w:rPr>
        <w:t xml:space="preserve">(51), 459-483. </w:t>
      </w:r>
    </w:p>
    <w:p w14:paraId="37510294" w14:textId="5D729225" w:rsidR="007936FB" w:rsidRPr="0051476A" w:rsidRDefault="00A21553" w:rsidP="007A4368">
      <w:pPr>
        <w:spacing w:after="0"/>
        <w:ind w:left="709" w:hanging="709"/>
        <w:rPr>
          <w:rFonts w:cs="Times New Roman"/>
        </w:rPr>
      </w:pPr>
      <w:r w:rsidRPr="0051476A">
        <w:rPr>
          <w:rFonts w:cs="Times New Roman"/>
        </w:rPr>
        <w:t xml:space="preserve">Dumazert, P. (2008). </w:t>
      </w:r>
      <w:r w:rsidRPr="0051476A">
        <w:rPr>
          <w:rFonts w:cs="Times New Roman"/>
          <w:i/>
        </w:rPr>
        <w:t>Análisis y cartografía de la vulnerabilidad a la inseguridad alimentaria y nutricional en Nicaragua. Actualización del VAM en base a datos del periodo 2005 – 2008.</w:t>
      </w:r>
      <w:r w:rsidRPr="0051476A">
        <w:rPr>
          <w:rFonts w:cs="Times New Roman"/>
        </w:rPr>
        <w:t xml:space="preserve"> </w:t>
      </w:r>
      <w:r w:rsidRPr="0051476A">
        <w:rPr>
          <w:rFonts w:cs="Times New Roman"/>
          <w:i/>
          <w:iCs/>
        </w:rPr>
        <w:t xml:space="preserve">Informe final. </w:t>
      </w:r>
    </w:p>
    <w:p w14:paraId="1989D1D7" w14:textId="6A47291A" w:rsidR="007936FB" w:rsidRPr="0051476A" w:rsidRDefault="00A21553" w:rsidP="007A4368">
      <w:pPr>
        <w:spacing w:after="0"/>
        <w:ind w:left="709" w:hanging="709"/>
        <w:rPr>
          <w:rFonts w:cs="Times New Roman"/>
        </w:rPr>
      </w:pPr>
      <w:r w:rsidRPr="0051476A">
        <w:rPr>
          <w:rFonts w:cs="Times New Roman"/>
        </w:rPr>
        <w:t xml:space="preserve">Figueroa, D. (2005). Grupos vulnerables y su caracterización como criterio de discriminación de la seguridad alimentaria y nutricional en Brasil. </w:t>
      </w:r>
      <w:r w:rsidRPr="0051476A">
        <w:rPr>
          <w:rFonts w:cs="Times New Roman"/>
          <w:i/>
        </w:rPr>
        <w:t>Revista Brasileira de Saúde Materno Infantil</w:t>
      </w:r>
      <w:r w:rsidRPr="0051476A">
        <w:rPr>
          <w:rFonts w:cs="Times New Roman"/>
        </w:rPr>
        <w:t xml:space="preserve">, </w:t>
      </w:r>
      <w:r w:rsidRPr="0051476A">
        <w:rPr>
          <w:rFonts w:cs="Times New Roman"/>
          <w:i/>
        </w:rPr>
        <w:t>5</w:t>
      </w:r>
      <w:r w:rsidRPr="0051476A">
        <w:rPr>
          <w:rFonts w:cs="Times New Roman"/>
        </w:rPr>
        <w:t xml:space="preserve">(3), 367-375. </w:t>
      </w:r>
    </w:p>
    <w:p w14:paraId="5743F727" w14:textId="01F2B06F" w:rsidR="007936FB" w:rsidRPr="0051476A" w:rsidRDefault="00A21553" w:rsidP="007A4368">
      <w:pPr>
        <w:spacing w:after="0"/>
        <w:ind w:left="709" w:hanging="709"/>
        <w:rPr>
          <w:rFonts w:cs="Times New Roman"/>
        </w:rPr>
      </w:pPr>
      <w:r w:rsidRPr="0051476A">
        <w:rPr>
          <w:rFonts w:cs="Times New Roman"/>
        </w:rPr>
        <w:lastRenderedPageBreak/>
        <w:t xml:space="preserve">Filgueira, C. y Peri, A. (2004). </w:t>
      </w:r>
      <w:r w:rsidRPr="0051476A">
        <w:rPr>
          <w:rFonts w:cs="Times New Roman"/>
          <w:i/>
          <w:iCs/>
        </w:rPr>
        <w:t>América Latina: los rostros de la pobreza y sus causas determinantes</w:t>
      </w:r>
      <w:r w:rsidRPr="0051476A">
        <w:rPr>
          <w:rFonts w:cs="Times New Roman"/>
        </w:rPr>
        <w:t>. Santiago, Chile: Comisión Económica para América Latina y el Caribe.</w:t>
      </w:r>
    </w:p>
    <w:p w14:paraId="656D6909" w14:textId="50BFF43C" w:rsidR="007936FB" w:rsidRPr="0051476A" w:rsidRDefault="00A21553" w:rsidP="007A4368">
      <w:pPr>
        <w:spacing w:after="0"/>
        <w:ind w:left="709" w:hanging="709"/>
        <w:rPr>
          <w:rFonts w:cs="Times New Roman"/>
          <w:lang w:val="en-US"/>
        </w:rPr>
      </w:pPr>
      <w:r w:rsidRPr="0051476A">
        <w:rPr>
          <w:rFonts w:cs="Times New Roman"/>
          <w:lang w:val="en-US"/>
        </w:rPr>
        <w:t xml:space="preserve">Freudenberg, M. (2003). Composite indicators of country performance: A critical assessment. </w:t>
      </w:r>
      <w:r w:rsidRPr="0051476A">
        <w:rPr>
          <w:rFonts w:cs="Times New Roman"/>
          <w:i/>
          <w:iCs/>
          <w:lang w:val="en-US"/>
        </w:rPr>
        <w:t>OECD Science, Technology and Industry Working Papers</w:t>
      </w:r>
      <w:r w:rsidRPr="0051476A">
        <w:rPr>
          <w:rFonts w:cs="Times New Roman"/>
          <w:lang w:val="en-US"/>
        </w:rPr>
        <w:t>, (2003/16).</w:t>
      </w:r>
    </w:p>
    <w:p w14:paraId="31635E41" w14:textId="77777777" w:rsidR="007936FB" w:rsidRPr="0051476A" w:rsidRDefault="00A21553" w:rsidP="007A4368">
      <w:pPr>
        <w:spacing w:after="0"/>
        <w:ind w:left="709" w:hanging="709"/>
        <w:rPr>
          <w:rFonts w:cs="Times New Roman"/>
          <w:lang w:val="en-US"/>
        </w:rPr>
      </w:pPr>
      <w:r w:rsidRPr="0051476A">
        <w:rPr>
          <w:rFonts w:cs="Times New Roman"/>
          <w:lang w:val="en-US"/>
        </w:rPr>
        <w:t xml:space="preserve"> Granger, W. J. (2001). </w:t>
      </w:r>
      <w:proofErr w:type="spellStart"/>
      <w:r w:rsidRPr="0051476A">
        <w:rPr>
          <w:rFonts w:cs="Times New Roman"/>
          <w:lang w:val="en-US"/>
        </w:rPr>
        <w:t>Macroeconometrics</w:t>
      </w:r>
      <w:proofErr w:type="spellEnd"/>
      <w:r w:rsidRPr="0051476A">
        <w:rPr>
          <w:rFonts w:cs="Times New Roman"/>
          <w:lang w:val="en-US"/>
        </w:rPr>
        <w:t xml:space="preserve"> – Past and future. </w:t>
      </w:r>
      <w:r w:rsidRPr="0051476A">
        <w:rPr>
          <w:rFonts w:cs="Times New Roman"/>
          <w:i/>
          <w:lang w:val="en-US"/>
        </w:rPr>
        <w:t>Journal of Econometrics</w:t>
      </w:r>
      <w:r w:rsidRPr="0051476A">
        <w:rPr>
          <w:rFonts w:cs="Times New Roman"/>
          <w:lang w:val="en-US"/>
        </w:rPr>
        <w:t xml:space="preserve">, </w:t>
      </w:r>
      <w:r w:rsidRPr="0051476A">
        <w:rPr>
          <w:rFonts w:cs="Times New Roman"/>
          <w:i/>
          <w:lang w:val="en-US"/>
        </w:rPr>
        <w:t>100</w:t>
      </w:r>
      <w:r w:rsidRPr="0051476A">
        <w:rPr>
          <w:rFonts w:cs="Times New Roman"/>
          <w:lang w:val="en-US"/>
        </w:rPr>
        <w:t>(1), 17-19.</w:t>
      </w:r>
    </w:p>
    <w:p w14:paraId="4C23B13D" w14:textId="5C4E7190" w:rsidR="007936FB" w:rsidRPr="0051476A" w:rsidRDefault="00A21553" w:rsidP="007A4368">
      <w:pPr>
        <w:spacing w:after="0"/>
        <w:ind w:left="709" w:hanging="709"/>
        <w:rPr>
          <w:rFonts w:cs="Times New Roman"/>
        </w:rPr>
      </w:pPr>
      <w:r w:rsidRPr="0051476A">
        <w:rPr>
          <w:rFonts w:cs="Times New Roman"/>
        </w:rPr>
        <w:t>Gutiérrez, I. y Siles, J. (2008</w:t>
      </w:r>
      <w:r w:rsidRPr="0051476A">
        <w:rPr>
          <w:rFonts w:cs="Times New Roman"/>
          <w:i/>
        </w:rPr>
        <w:t>). Diagnóstico de medios de vida y capitales de la comunidad de humedales de Medio Queso</w:t>
      </w:r>
      <w:r w:rsidRPr="0051476A">
        <w:rPr>
          <w:rFonts w:cs="Times New Roman"/>
        </w:rPr>
        <w:t>. Los Chiles, Costa Rica: Oficina Regional para Mesoamérica y la Iniciativa CARIBE.</w:t>
      </w:r>
    </w:p>
    <w:p w14:paraId="105351E5" w14:textId="47987A0F" w:rsidR="007936FB" w:rsidRPr="0051476A" w:rsidRDefault="00A21553" w:rsidP="007A4368">
      <w:pPr>
        <w:spacing w:after="0"/>
        <w:ind w:left="709" w:hanging="709"/>
        <w:rPr>
          <w:rFonts w:cs="Times New Roman"/>
          <w:lang w:val="en-US"/>
        </w:rPr>
      </w:pPr>
      <w:r w:rsidRPr="0051476A">
        <w:rPr>
          <w:rFonts w:cs="Times New Roman"/>
        </w:rPr>
        <w:t xml:space="preserve">Holzmann, R. y Jørgensen, S. (2000). </w:t>
      </w:r>
      <w:r w:rsidRPr="0051476A">
        <w:rPr>
          <w:rFonts w:cs="Times New Roman"/>
          <w:lang w:val="en-US"/>
        </w:rPr>
        <w:t xml:space="preserve">Social Risk Management: A New Conceptual Framework for Social Protection, and Beyond. </w:t>
      </w:r>
      <w:r w:rsidRPr="0051476A">
        <w:rPr>
          <w:rFonts w:cs="Times New Roman"/>
          <w:i/>
          <w:iCs/>
          <w:lang w:val="en-US"/>
        </w:rPr>
        <w:t>Social Protection Discussion Paper</w:t>
      </w:r>
      <w:r w:rsidRPr="0051476A">
        <w:rPr>
          <w:rFonts w:cs="Times New Roman"/>
          <w:lang w:val="en-US"/>
        </w:rPr>
        <w:t>, (0006).</w:t>
      </w:r>
    </w:p>
    <w:p w14:paraId="677984C6" w14:textId="77777777" w:rsidR="007936FB" w:rsidRPr="0051476A" w:rsidRDefault="00A21553" w:rsidP="007A4368">
      <w:pPr>
        <w:spacing w:after="0"/>
        <w:ind w:left="709" w:hanging="709"/>
        <w:rPr>
          <w:rFonts w:cs="Times New Roman"/>
        </w:rPr>
      </w:pPr>
      <w:r w:rsidRPr="0051476A">
        <w:rPr>
          <w:rFonts w:cs="Times New Roman"/>
          <w:lang w:val="en-US"/>
        </w:rPr>
        <w:t xml:space="preserve">Hughes, S., </w:t>
      </w:r>
      <w:proofErr w:type="spellStart"/>
      <w:r w:rsidRPr="0051476A">
        <w:rPr>
          <w:rFonts w:cs="Times New Roman"/>
          <w:lang w:val="en-US"/>
        </w:rPr>
        <w:t>Yau</w:t>
      </w:r>
      <w:proofErr w:type="spellEnd"/>
      <w:r w:rsidRPr="0051476A">
        <w:rPr>
          <w:rFonts w:cs="Times New Roman"/>
          <w:lang w:val="en-US"/>
        </w:rPr>
        <w:t xml:space="preserve">, A., Max, L., </w:t>
      </w:r>
      <w:proofErr w:type="spellStart"/>
      <w:r w:rsidRPr="0051476A">
        <w:rPr>
          <w:rFonts w:cs="Times New Roman"/>
          <w:lang w:val="en-US"/>
        </w:rPr>
        <w:t>Petrovic</w:t>
      </w:r>
      <w:proofErr w:type="spellEnd"/>
      <w:r w:rsidRPr="0051476A">
        <w:rPr>
          <w:rFonts w:cs="Times New Roman"/>
          <w:lang w:val="en-US"/>
        </w:rPr>
        <w:t xml:space="preserve">, N., Davenport, F., Marshall, M. y </w:t>
      </w:r>
      <w:proofErr w:type="spellStart"/>
      <w:r w:rsidRPr="0051476A">
        <w:rPr>
          <w:rFonts w:cs="Times New Roman"/>
          <w:lang w:val="en-US"/>
        </w:rPr>
        <w:t>Cinner</w:t>
      </w:r>
      <w:proofErr w:type="spellEnd"/>
      <w:r w:rsidRPr="0051476A">
        <w:rPr>
          <w:rFonts w:cs="Times New Roman"/>
          <w:lang w:val="en-US"/>
        </w:rPr>
        <w:t xml:space="preserve">, J. E. (2012). A framework to assess national level vulnerability from the perspective of food security: The case of coral reef fisheries. </w:t>
      </w:r>
      <w:r w:rsidRPr="0051476A">
        <w:rPr>
          <w:rFonts w:cs="Times New Roman"/>
          <w:i/>
        </w:rPr>
        <w:t>Environmental Science and Policy</w:t>
      </w:r>
      <w:r w:rsidRPr="0051476A">
        <w:rPr>
          <w:rFonts w:cs="Times New Roman"/>
        </w:rPr>
        <w:t xml:space="preserve">, </w:t>
      </w:r>
      <w:r w:rsidRPr="0051476A">
        <w:rPr>
          <w:rFonts w:cs="Times New Roman"/>
          <w:i/>
        </w:rPr>
        <w:t>23</w:t>
      </w:r>
      <w:r w:rsidRPr="0051476A">
        <w:rPr>
          <w:rFonts w:cs="Times New Roman"/>
        </w:rPr>
        <w:t xml:space="preserve">, 95-108. </w:t>
      </w:r>
    </w:p>
    <w:p w14:paraId="3BE77DD1" w14:textId="77777777" w:rsidR="007936FB" w:rsidRPr="0051476A" w:rsidRDefault="00A21553" w:rsidP="007A4368">
      <w:pPr>
        <w:spacing w:after="0"/>
        <w:ind w:left="709" w:hanging="709"/>
        <w:rPr>
          <w:rFonts w:cs="Times New Roman"/>
        </w:rPr>
      </w:pPr>
      <w:r w:rsidRPr="0051476A">
        <w:rPr>
          <w:rFonts w:cs="Times New Roman"/>
        </w:rPr>
        <w:t>Instituto nacional de estadística y censos (2004). Análisis de la Pobreza y la Seguridad Alimentaria Nutricional en Nicaragua., Gobierno de la República de Nicaragua. INEC.</w:t>
      </w:r>
    </w:p>
    <w:p w14:paraId="3AD28541" w14:textId="529E701A" w:rsidR="007936FB" w:rsidRPr="0051476A" w:rsidRDefault="00457912" w:rsidP="007A4368">
      <w:pPr>
        <w:spacing w:after="0"/>
        <w:ind w:left="709" w:hanging="709"/>
        <w:rPr>
          <w:rFonts w:cs="Times New Roman"/>
        </w:rPr>
      </w:pPr>
      <w:r w:rsidRPr="0051476A">
        <w:rPr>
          <w:rFonts w:cs="Times New Roman"/>
        </w:rPr>
        <w:t xml:space="preserve"> Kaztman</w:t>
      </w:r>
      <w:r w:rsidR="00A21553" w:rsidRPr="0051476A">
        <w:rPr>
          <w:rFonts w:cs="Times New Roman"/>
        </w:rPr>
        <w:t>, R. (2000). Documentos de Trabajo del IPES Nº 2. Aportes conceptuales. Notas sobre la medición de la vulnerabilidad social. Universidad Católica del Uruguay.</w:t>
      </w:r>
    </w:p>
    <w:p w14:paraId="394EEFA5" w14:textId="77777777" w:rsidR="007936FB" w:rsidRPr="0051476A" w:rsidRDefault="00A21553" w:rsidP="007A4368">
      <w:pPr>
        <w:spacing w:after="0"/>
        <w:ind w:left="709" w:hanging="709"/>
        <w:rPr>
          <w:rFonts w:cs="Times New Roman"/>
        </w:rPr>
      </w:pPr>
      <w:r w:rsidRPr="0051476A">
        <w:rPr>
          <w:rFonts w:cs="Times New Roman"/>
        </w:rPr>
        <w:t xml:space="preserve">Kaztman, R. y Filgueira, C. (1999). Marco conceptual sobre activos, vulnerabilidad y estructura de oportunidades. Apoyo a la implementación del Programa de Acción de la Cumbre Mundial sobre Desarrollo Social. Montevideo. CEPAL, 7-23. </w:t>
      </w:r>
    </w:p>
    <w:p w14:paraId="244C6F66" w14:textId="3F8F7B79" w:rsidR="007936FB" w:rsidRPr="0051476A" w:rsidRDefault="00A21553" w:rsidP="007A4368">
      <w:pPr>
        <w:spacing w:after="0"/>
        <w:ind w:left="709" w:hanging="709"/>
        <w:rPr>
          <w:rFonts w:cs="Times New Roman"/>
        </w:rPr>
      </w:pPr>
      <w:r w:rsidRPr="0051476A">
        <w:rPr>
          <w:rFonts w:cs="Times New Roman"/>
        </w:rPr>
        <w:t>Ministerio de Desarrollo e Inclusión Social y Organización de las Naciones Unidas para la Alimentación y la Agricultura [FAO]. (2012). Mapa de Vulnerabilidad a la Inseguridad Alimentaria 2012. Ministerio de Desarrollo e Inclusión Social, Perú. Lima, Perú.</w:t>
      </w:r>
    </w:p>
    <w:p w14:paraId="235A6975" w14:textId="7E80AB9E" w:rsidR="007936FB" w:rsidRPr="0051476A" w:rsidRDefault="00A21553" w:rsidP="007A4368">
      <w:pPr>
        <w:spacing w:after="0"/>
        <w:ind w:left="709" w:hanging="709"/>
        <w:rPr>
          <w:rFonts w:cs="Times New Roman"/>
        </w:rPr>
      </w:pPr>
      <w:r w:rsidRPr="00404708">
        <w:rPr>
          <w:rFonts w:cs="Times New Roman"/>
          <w:lang w:val="en-US"/>
        </w:rPr>
        <w:t xml:space="preserve">Moser, C. (1998). </w:t>
      </w:r>
      <w:r w:rsidRPr="0051476A">
        <w:rPr>
          <w:rFonts w:cs="Times New Roman"/>
          <w:lang w:val="en-US"/>
        </w:rPr>
        <w:t xml:space="preserve">The asset vulnerability framework: Reassessing urban poverty reduction strategies. </w:t>
      </w:r>
      <w:r w:rsidRPr="0051476A">
        <w:rPr>
          <w:rFonts w:cs="Times New Roman"/>
          <w:i/>
          <w:iCs/>
        </w:rPr>
        <w:t>World Development</w:t>
      </w:r>
      <w:r w:rsidRPr="0051476A">
        <w:rPr>
          <w:rFonts w:cs="Times New Roman"/>
        </w:rPr>
        <w:t xml:space="preserve">, </w:t>
      </w:r>
      <w:r w:rsidRPr="0051476A">
        <w:rPr>
          <w:rFonts w:cs="Times New Roman"/>
          <w:i/>
        </w:rPr>
        <w:t>26</w:t>
      </w:r>
      <w:r w:rsidRPr="0051476A">
        <w:rPr>
          <w:rFonts w:cs="Times New Roman"/>
        </w:rPr>
        <w:t>(1), 1-19.</w:t>
      </w:r>
    </w:p>
    <w:p w14:paraId="5E8C7954" w14:textId="42C77E32" w:rsidR="007936FB" w:rsidRPr="0051476A" w:rsidRDefault="00A21553" w:rsidP="007A4368">
      <w:pPr>
        <w:spacing w:after="0"/>
        <w:ind w:left="709" w:hanging="709"/>
        <w:rPr>
          <w:rFonts w:cs="Times New Roman"/>
        </w:rPr>
      </w:pPr>
      <w:r w:rsidRPr="0051476A">
        <w:rPr>
          <w:rFonts w:cs="Times New Roman"/>
        </w:rPr>
        <w:t xml:space="preserve">Mundo, V., Méndez, I. y Shamah, T. (2014). Caracterización de los hogares mexicanos en inseguridad alimentaria. </w:t>
      </w:r>
      <w:r w:rsidRPr="0051476A">
        <w:rPr>
          <w:rFonts w:cs="Times New Roman"/>
          <w:i/>
        </w:rPr>
        <w:t>Salud Pública de México</w:t>
      </w:r>
      <w:r w:rsidRPr="0051476A">
        <w:rPr>
          <w:rFonts w:cs="Times New Roman"/>
        </w:rPr>
        <w:t xml:space="preserve">, </w:t>
      </w:r>
      <w:r w:rsidRPr="0051476A">
        <w:rPr>
          <w:rFonts w:cs="Times New Roman"/>
          <w:i/>
        </w:rPr>
        <w:t>56</w:t>
      </w:r>
      <w:r w:rsidRPr="0051476A">
        <w:rPr>
          <w:rFonts w:cs="Times New Roman"/>
        </w:rPr>
        <w:t>(supl. 1), 12-20.</w:t>
      </w:r>
    </w:p>
    <w:p w14:paraId="107D2C77" w14:textId="77777777" w:rsidR="007936FB" w:rsidRPr="00404708" w:rsidRDefault="00A21553" w:rsidP="007A4368">
      <w:pPr>
        <w:spacing w:after="0"/>
        <w:ind w:left="709" w:hanging="709"/>
        <w:rPr>
          <w:rFonts w:cs="Times New Roman"/>
          <w:lang w:val="en-US"/>
        </w:rPr>
      </w:pPr>
      <w:r w:rsidRPr="0051476A">
        <w:rPr>
          <w:rFonts w:cs="Times New Roman"/>
        </w:rPr>
        <w:lastRenderedPageBreak/>
        <w:t xml:space="preserve">Organización para la Cooperación y el Desarrollo Económicos [OECD]. </w:t>
      </w:r>
      <w:r w:rsidRPr="0051476A">
        <w:rPr>
          <w:rFonts w:cs="Times New Roman"/>
          <w:lang w:val="en-US"/>
        </w:rPr>
        <w:t xml:space="preserve">(2008). </w:t>
      </w:r>
      <w:r w:rsidRPr="0051476A">
        <w:rPr>
          <w:rFonts w:cs="Times New Roman"/>
          <w:i/>
          <w:iCs/>
          <w:lang w:val="en-US"/>
        </w:rPr>
        <w:t>Handbook on Constructing Composite Indicators: Methodology and User Guide</w:t>
      </w:r>
      <w:r w:rsidRPr="0051476A">
        <w:rPr>
          <w:rFonts w:cs="Times New Roman"/>
          <w:lang w:val="en-US"/>
        </w:rPr>
        <w:t xml:space="preserve">. </w:t>
      </w:r>
      <w:r w:rsidRPr="00404708">
        <w:rPr>
          <w:rFonts w:cs="Times New Roman"/>
          <w:lang w:val="en-US"/>
        </w:rPr>
        <w:t>OECD Publishing.</w:t>
      </w:r>
    </w:p>
    <w:p w14:paraId="2D1F9E2F" w14:textId="77777777" w:rsidR="007936FB" w:rsidRPr="0051476A" w:rsidRDefault="00A21553" w:rsidP="007A4368">
      <w:pPr>
        <w:spacing w:after="0"/>
        <w:ind w:left="709" w:hanging="709"/>
        <w:rPr>
          <w:rFonts w:cs="Times New Roman"/>
          <w:bCs/>
        </w:rPr>
      </w:pPr>
      <w:r w:rsidRPr="0051476A">
        <w:rPr>
          <w:rFonts w:cs="Times New Roman"/>
        </w:rPr>
        <w:t>Organización de las Naciones Unidas para la Alimentación y la Agricultura [FAO]</w:t>
      </w:r>
      <w:r w:rsidRPr="0051476A">
        <w:rPr>
          <w:rFonts w:cs="Times New Roman"/>
          <w:bCs/>
        </w:rPr>
        <w:t xml:space="preserve">, Fondo Internacional de Desarrollo Agrícola [FIDA] y Programa Mundial de Alimentos [PMA]. (2015). </w:t>
      </w:r>
      <w:r w:rsidRPr="0051476A">
        <w:rPr>
          <w:rFonts w:cs="Times New Roman"/>
          <w:bCs/>
          <w:i/>
          <w:iCs/>
        </w:rPr>
        <w:t>El estado de la inseguridad alimentaria en el mundo. Cumplimiento de los objetivos internacionales para 2015 en relación con el hambre: balance de los desiguales progresos</w:t>
      </w:r>
      <w:r w:rsidRPr="0051476A">
        <w:rPr>
          <w:rFonts w:cs="Times New Roman"/>
          <w:bCs/>
        </w:rPr>
        <w:t xml:space="preserve">. Roma, Italia: </w:t>
      </w:r>
      <w:r w:rsidRPr="0051476A">
        <w:rPr>
          <w:rFonts w:cs="Times New Roman"/>
        </w:rPr>
        <w:t xml:space="preserve">Organización de las Naciones Unidas para la Alimentación y la Agricultura, </w:t>
      </w:r>
      <w:r w:rsidRPr="0051476A">
        <w:rPr>
          <w:rFonts w:cs="Times New Roman"/>
          <w:bCs/>
        </w:rPr>
        <w:t>Fondo Internacional de Desarrollo Agrícola y Programa Mundial de Alimentos.</w:t>
      </w:r>
    </w:p>
    <w:p w14:paraId="31043975" w14:textId="77777777" w:rsidR="007936FB" w:rsidRPr="0051476A" w:rsidRDefault="00A21553" w:rsidP="007A4368">
      <w:pPr>
        <w:spacing w:after="0"/>
        <w:ind w:left="709" w:hanging="709"/>
        <w:rPr>
          <w:rFonts w:cs="Times New Roman"/>
          <w:bCs/>
        </w:rPr>
      </w:pPr>
      <w:r w:rsidRPr="0051476A">
        <w:rPr>
          <w:rFonts w:cs="Times New Roman"/>
        </w:rPr>
        <w:t>Organización de las Naciones Unidas para la Alimentación y la Agricultura [FAO]</w:t>
      </w:r>
      <w:r w:rsidRPr="0051476A">
        <w:rPr>
          <w:rFonts w:cs="Times New Roman"/>
          <w:bCs/>
        </w:rPr>
        <w:t>, Organización Panamericana de la Salud [OPS], Programa Mundial de Alimentos [PMA] y Fondo de las Naciones Unidas para la Infancia [Unicef]. (2018).</w:t>
      </w:r>
      <w:r w:rsidRPr="0051476A">
        <w:rPr>
          <w:rFonts w:cs="Times New Roman"/>
          <w:bCs/>
          <w:i/>
          <w:iCs/>
        </w:rPr>
        <w:t xml:space="preserve"> Panorama de la seguridad alimentaria y nutricional en América Latina y el Caribe 2018</w:t>
      </w:r>
      <w:r w:rsidRPr="0051476A">
        <w:rPr>
          <w:rFonts w:cs="Times New Roman"/>
          <w:bCs/>
        </w:rPr>
        <w:t xml:space="preserve">. Santiago, Chile: </w:t>
      </w:r>
      <w:r w:rsidRPr="0051476A">
        <w:rPr>
          <w:rFonts w:cs="Times New Roman"/>
        </w:rPr>
        <w:t xml:space="preserve">Organización de las Naciones Unidas para la Alimentación y la Agricultura, </w:t>
      </w:r>
      <w:r w:rsidRPr="0051476A">
        <w:rPr>
          <w:rFonts w:cs="Times New Roman"/>
          <w:bCs/>
        </w:rPr>
        <w:t xml:space="preserve">Organización Panamericana de la Salud, Programa Mundial de Alimentos y Fondo de las Naciones Unidas para la Infancia. </w:t>
      </w:r>
    </w:p>
    <w:p w14:paraId="774F6F69" w14:textId="7A411409" w:rsidR="007936FB" w:rsidRPr="0051476A" w:rsidRDefault="00A21553" w:rsidP="007A4368">
      <w:pPr>
        <w:spacing w:after="0"/>
        <w:ind w:left="709" w:hanging="709"/>
        <w:rPr>
          <w:rFonts w:cs="Times New Roman"/>
        </w:rPr>
      </w:pPr>
      <w:proofErr w:type="spellStart"/>
      <w:r w:rsidRPr="0051476A">
        <w:rPr>
          <w:rFonts w:cs="Times New Roman"/>
          <w:lang w:val="en-US"/>
        </w:rPr>
        <w:t>Ozughalu</w:t>
      </w:r>
      <w:proofErr w:type="spellEnd"/>
      <w:r w:rsidRPr="0051476A">
        <w:rPr>
          <w:rFonts w:cs="Times New Roman"/>
          <w:lang w:val="en-US"/>
        </w:rPr>
        <w:t xml:space="preserve">, M. and Ogwumike, O. (2013). Vulnerability to Food Poverty in Nigeria. </w:t>
      </w:r>
      <w:r w:rsidRPr="0051476A">
        <w:rPr>
          <w:rFonts w:cs="Times New Roman"/>
          <w:i/>
        </w:rPr>
        <w:t>African Development Review</w:t>
      </w:r>
      <w:r w:rsidRPr="0051476A">
        <w:rPr>
          <w:rFonts w:cs="Times New Roman"/>
        </w:rPr>
        <w:t xml:space="preserve">, </w:t>
      </w:r>
      <w:r w:rsidRPr="0051476A">
        <w:rPr>
          <w:rFonts w:cs="Times New Roman"/>
          <w:i/>
        </w:rPr>
        <w:t>25</w:t>
      </w:r>
      <w:r w:rsidRPr="0051476A">
        <w:rPr>
          <w:rFonts w:cs="Times New Roman"/>
        </w:rPr>
        <w:t>(3), 243-255.</w:t>
      </w:r>
    </w:p>
    <w:p w14:paraId="3D720A67" w14:textId="0345D548" w:rsidR="007936FB" w:rsidRPr="0051476A" w:rsidRDefault="00A21553" w:rsidP="007A4368">
      <w:pPr>
        <w:spacing w:after="0"/>
        <w:ind w:left="709" w:hanging="709"/>
        <w:rPr>
          <w:rFonts w:cs="Times New Roman"/>
        </w:rPr>
      </w:pPr>
      <w:r w:rsidRPr="0051476A">
        <w:rPr>
          <w:rFonts w:cs="Times New Roman"/>
        </w:rPr>
        <w:t xml:space="preserve">Salomone, A. (2016). </w:t>
      </w:r>
      <w:r w:rsidRPr="0051476A">
        <w:rPr>
          <w:rFonts w:cs="Times New Roman"/>
          <w:i/>
          <w:iCs/>
        </w:rPr>
        <w:t>Vulnerabilidad a la inseguridad alimentaria en la ciudad de Neuquén: análisis de las políticas públicas alimentarias y las estrategias de los hogares entre 1990 y 2010</w:t>
      </w:r>
      <w:r w:rsidRPr="0051476A">
        <w:rPr>
          <w:rFonts w:cs="Times New Roman"/>
        </w:rPr>
        <w:t>. (tesis doctoral). Universidad Nacional de Córdoba, Córdoba, España.</w:t>
      </w:r>
    </w:p>
    <w:p w14:paraId="5B05E39D" w14:textId="77777777" w:rsidR="007936FB" w:rsidRPr="0051476A" w:rsidRDefault="00A21553" w:rsidP="007A4368">
      <w:pPr>
        <w:spacing w:after="0"/>
        <w:ind w:left="709" w:hanging="709"/>
        <w:rPr>
          <w:rFonts w:cs="Times New Roman"/>
        </w:rPr>
      </w:pPr>
      <w:proofErr w:type="spellStart"/>
      <w:r w:rsidRPr="00404708">
        <w:rPr>
          <w:rFonts w:cs="Times New Roman"/>
          <w:lang w:val="en-US"/>
        </w:rPr>
        <w:t>Saltelli</w:t>
      </w:r>
      <w:proofErr w:type="spellEnd"/>
      <w:r w:rsidRPr="00404708">
        <w:rPr>
          <w:rFonts w:cs="Times New Roman"/>
          <w:lang w:val="en-US"/>
        </w:rPr>
        <w:t xml:space="preserve">, A. (2007). </w:t>
      </w:r>
      <w:r w:rsidRPr="0051476A">
        <w:rPr>
          <w:rFonts w:cs="Times New Roman"/>
          <w:lang w:val="en-US"/>
        </w:rPr>
        <w:t xml:space="preserve">Composite Indicators between analysis and advocacy. </w:t>
      </w:r>
      <w:r w:rsidRPr="0051476A">
        <w:rPr>
          <w:rFonts w:cs="Times New Roman"/>
          <w:i/>
        </w:rPr>
        <w:t>Social Indicators Research</w:t>
      </w:r>
      <w:r w:rsidRPr="0051476A">
        <w:rPr>
          <w:rFonts w:cs="Times New Roman"/>
        </w:rPr>
        <w:t xml:space="preserve">, </w:t>
      </w:r>
      <w:r w:rsidRPr="0051476A">
        <w:rPr>
          <w:rFonts w:cs="Times New Roman"/>
          <w:i/>
        </w:rPr>
        <w:t>81</w:t>
      </w:r>
      <w:r w:rsidRPr="0051476A">
        <w:rPr>
          <w:rFonts w:cs="Times New Roman"/>
        </w:rPr>
        <w:t>(1), 65-77.</w:t>
      </w:r>
    </w:p>
    <w:p w14:paraId="0BF9E1D8" w14:textId="2913CE86" w:rsidR="007936FB" w:rsidRPr="0051476A" w:rsidRDefault="00A21553" w:rsidP="007A4368">
      <w:pPr>
        <w:autoSpaceDE w:val="0"/>
        <w:autoSpaceDN w:val="0"/>
        <w:adjustRightInd w:val="0"/>
        <w:spacing w:after="0"/>
        <w:ind w:left="709" w:hanging="709"/>
        <w:rPr>
          <w:rFonts w:cs="Times New Roman"/>
        </w:rPr>
      </w:pPr>
      <w:r w:rsidRPr="0051476A">
        <w:rPr>
          <w:rFonts w:cs="Times New Roman"/>
        </w:rPr>
        <w:t xml:space="preserve">Seguinot, B. J. (2016). Cambio climático y vulnerabilidad de las comunidades al ascenso del nivel del mar (ANM) en la ciudad de San Juan, Puerto Rico (2005-2015). </w:t>
      </w:r>
      <w:r w:rsidRPr="0051476A">
        <w:rPr>
          <w:rFonts w:cs="Times New Roman"/>
          <w:i/>
          <w:iCs/>
        </w:rPr>
        <w:t>Boletín de la Real Sociedad Geográfica</w:t>
      </w:r>
      <w:r w:rsidRPr="0051476A">
        <w:rPr>
          <w:rFonts w:cs="Times New Roman"/>
        </w:rPr>
        <w:t>, tomo CLI, 239-257</w:t>
      </w:r>
    </w:p>
    <w:p w14:paraId="0C59CCDA" w14:textId="77E6BA54" w:rsidR="007936FB" w:rsidRPr="0051476A" w:rsidRDefault="00A21553" w:rsidP="007A4368">
      <w:pPr>
        <w:autoSpaceDE w:val="0"/>
        <w:autoSpaceDN w:val="0"/>
        <w:adjustRightInd w:val="0"/>
        <w:spacing w:after="0"/>
        <w:ind w:left="709" w:hanging="709"/>
        <w:rPr>
          <w:rFonts w:cs="Times New Roman"/>
        </w:rPr>
      </w:pPr>
      <w:r w:rsidRPr="00404708">
        <w:rPr>
          <w:rFonts w:cs="Times New Roman"/>
          <w:lang w:val="en-US"/>
        </w:rPr>
        <w:t xml:space="preserve">Stephen, L. and </w:t>
      </w:r>
      <w:proofErr w:type="spellStart"/>
      <w:r w:rsidRPr="00404708">
        <w:rPr>
          <w:rFonts w:cs="Times New Roman"/>
          <w:lang w:val="en-US"/>
        </w:rPr>
        <w:t>Downig</w:t>
      </w:r>
      <w:proofErr w:type="spellEnd"/>
      <w:r w:rsidRPr="00404708">
        <w:rPr>
          <w:rFonts w:cs="Times New Roman"/>
          <w:lang w:val="en-US"/>
        </w:rPr>
        <w:t xml:space="preserve"> T. E. (2001). </w:t>
      </w:r>
      <w:r w:rsidRPr="0051476A">
        <w:rPr>
          <w:rFonts w:cs="Times New Roman"/>
          <w:lang w:val="en-US"/>
        </w:rPr>
        <w:t xml:space="preserve">Getting the Scale Right: A Comparison of Analytic Methods for Vulnerability Assessment and Household-Level Targeting. </w:t>
      </w:r>
      <w:r w:rsidRPr="0051476A">
        <w:rPr>
          <w:rFonts w:cs="Times New Roman"/>
          <w:i/>
          <w:iCs/>
        </w:rPr>
        <w:t>Disasters</w:t>
      </w:r>
      <w:r w:rsidRPr="0051476A">
        <w:rPr>
          <w:rFonts w:cs="Times New Roman"/>
          <w:iCs/>
        </w:rPr>
        <w:t xml:space="preserve">, </w:t>
      </w:r>
      <w:r w:rsidRPr="0051476A">
        <w:rPr>
          <w:rFonts w:cs="Times New Roman"/>
          <w:i/>
        </w:rPr>
        <w:t>25</w:t>
      </w:r>
      <w:r w:rsidRPr="0051476A">
        <w:rPr>
          <w:rFonts w:cs="Times New Roman"/>
        </w:rPr>
        <w:t>(2), 113–135.</w:t>
      </w:r>
    </w:p>
    <w:p w14:paraId="6C146F34" w14:textId="38AE0A13" w:rsidR="007936FB" w:rsidRPr="0051476A" w:rsidRDefault="00A21553" w:rsidP="007A4368">
      <w:pPr>
        <w:spacing w:after="0"/>
        <w:ind w:left="709" w:hanging="709"/>
        <w:rPr>
          <w:rFonts w:cs="Times New Roman"/>
        </w:rPr>
      </w:pPr>
      <w:r w:rsidRPr="0051476A">
        <w:rPr>
          <w:rFonts w:cs="Times New Roman"/>
        </w:rPr>
        <w:lastRenderedPageBreak/>
        <w:t xml:space="preserve">Thomson, A. (1999). </w:t>
      </w:r>
      <w:r w:rsidRPr="0051476A">
        <w:rPr>
          <w:rFonts w:cs="Times New Roman"/>
          <w:i/>
          <w:iCs/>
        </w:rPr>
        <w:t>Implicaciones de las políticas económicas en la seguridad alimentaria: Manual de capacitación</w:t>
      </w:r>
      <w:r w:rsidRPr="0051476A">
        <w:rPr>
          <w:rFonts w:cs="Times New Roman"/>
        </w:rPr>
        <w:t>. Roma, Italia: Organización de las Naciones Unidas para la Alimentación y la Agricultura.</w:t>
      </w:r>
    </w:p>
    <w:p w14:paraId="66FB1DF1" w14:textId="69871C94" w:rsidR="007936FB" w:rsidRDefault="00A21553" w:rsidP="007A4368">
      <w:pPr>
        <w:spacing w:after="0"/>
        <w:ind w:left="709" w:hanging="709"/>
      </w:pPr>
      <w:r w:rsidRPr="0051476A">
        <w:rPr>
          <w:rFonts w:cs="Times New Roman"/>
        </w:rPr>
        <w:t xml:space="preserve">Valencia R. G. y Ortiz, L. (2014). Disponibilidad de alimentos en los hogares mexicanos de acuerdo con el grado de inseguridad alimentaria. </w:t>
      </w:r>
      <w:r w:rsidRPr="0051476A">
        <w:rPr>
          <w:rFonts w:cs="Times New Roman"/>
          <w:i/>
        </w:rPr>
        <w:t>Salud Pública de México</w:t>
      </w:r>
      <w:r w:rsidRPr="0051476A">
        <w:rPr>
          <w:rFonts w:cs="Times New Roman"/>
        </w:rPr>
        <w:t xml:space="preserve">, </w:t>
      </w:r>
      <w:r w:rsidRPr="0051476A">
        <w:rPr>
          <w:rFonts w:cs="Times New Roman"/>
          <w:i/>
        </w:rPr>
        <w:t>56</w:t>
      </w:r>
      <w:r w:rsidRPr="0051476A">
        <w:rPr>
          <w:rFonts w:cs="Times New Roman"/>
        </w:rPr>
        <w:t>(2), 154</w:t>
      </w:r>
      <w:r w:rsidRPr="00C442E5">
        <w:t>-164.</w:t>
      </w:r>
    </w:p>
    <w:p w14:paraId="014567BC" w14:textId="77777777" w:rsidR="00D6431B" w:rsidRDefault="00D6431B" w:rsidP="007A4368">
      <w:pPr>
        <w:spacing w:after="0"/>
        <w:ind w:left="709" w:hanging="709"/>
      </w:pPr>
    </w:p>
    <w:p w14:paraId="6712044E" w14:textId="77777777" w:rsidR="004F4C7C" w:rsidRDefault="004F4C7C" w:rsidP="007A4368">
      <w:pPr>
        <w:spacing w:after="0"/>
        <w:ind w:left="709" w:hanging="709"/>
      </w:pPr>
    </w:p>
    <w:p w14:paraId="393C0106" w14:textId="77777777" w:rsidR="004F4C7C" w:rsidRDefault="004F4C7C" w:rsidP="007A4368">
      <w:pPr>
        <w:spacing w:after="0"/>
        <w:ind w:left="709" w:hanging="709"/>
      </w:pPr>
    </w:p>
    <w:p w14:paraId="4E00111B" w14:textId="77777777" w:rsidR="004F4C7C" w:rsidRDefault="004F4C7C" w:rsidP="007A4368">
      <w:pPr>
        <w:spacing w:after="0"/>
        <w:ind w:left="709" w:hanging="709"/>
      </w:pPr>
    </w:p>
    <w:p w14:paraId="739D0F0C" w14:textId="77777777" w:rsidR="004F4C7C" w:rsidRDefault="004F4C7C" w:rsidP="007A4368">
      <w:pPr>
        <w:spacing w:after="0"/>
        <w:ind w:left="709" w:hanging="709"/>
      </w:pPr>
    </w:p>
    <w:p w14:paraId="6B57422F" w14:textId="77777777" w:rsidR="004F4C7C" w:rsidRDefault="004F4C7C" w:rsidP="007A4368">
      <w:pPr>
        <w:spacing w:after="0"/>
        <w:ind w:left="709" w:hanging="709"/>
      </w:pPr>
    </w:p>
    <w:p w14:paraId="0D92E49C" w14:textId="77777777" w:rsidR="004F4C7C" w:rsidRDefault="004F4C7C" w:rsidP="007A4368">
      <w:pPr>
        <w:spacing w:after="0"/>
        <w:ind w:left="709" w:hanging="709"/>
      </w:pPr>
    </w:p>
    <w:p w14:paraId="5758FEED" w14:textId="77777777" w:rsidR="004F4C7C" w:rsidRDefault="004F4C7C" w:rsidP="007A4368">
      <w:pPr>
        <w:spacing w:after="0"/>
        <w:ind w:left="709" w:hanging="709"/>
      </w:pPr>
    </w:p>
    <w:p w14:paraId="0C38A42A" w14:textId="77777777" w:rsidR="004F4C7C" w:rsidRDefault="004F4C7C" w:rsidP="007A4368">
      <w:pPr>
        <w:spacing w:after="0"/>
        <w:ind w:left="709" w:hanging="709"/>
      </w:pPr>
    </w:p>
    <w:p w14:paraId="73FE9F78" w14:textId="77777777" w:rsidR="004F4C7C" w:rsidRDefault="004F4C7C" w:rsidP="007A4368">
      <w:pPr>
        <w:spacing w:after="0"/>
        <w:ind w:left="709" w:hanging="709"/>
      </w:pPr>
    </w:p>
    <w:p w14:paraId="0A38B1FD" w14:textId="1337B432" w:rsidR="004F4C7C" w:rsidRDefault="004F4C7C" w:rsidP="007A4368">
      <w:pPr>
        <w:spacing w:after="0"/>
        <w:ind w:left="709" w:hanging="709"/>
      </w:pPr>
    </w:p>
    <w:p w14:paraId="5B089796" w14:textId="73AC42E2" w:rsidR="007F0967" w:rsidRDefault="007F0967" w:rsidP="007A4368">
      <w:pPr>
        <w:spacing w:after="0"/>
        <w:ind w:left="709" w:hanging="709"/>
      </w:pPr>
    </w:p>
    <w:p w14:paraId="328EDFCC" w14:textId="2E2C6D27" w:rsidR="007F0967" w:rsidRDefault="007F0967" w:rsidP="007A4368">
      <w:pPr>
        <w:spacing w:after="0"/>
        <w:ind w:left="709" w:hanging="709"/>
      </w:pPr>
    </w:p>
    <w:p w14:paraId="7964350D" w14:textId="1454234B" w:rsidR="007F0967" w:rsidRDefault="007F0967" w:rsidP="007A4368">
      <w:pPr>
        <w:spacing w:after="0"/>
        <w:ind w:left="709" w:hanging="709"/>
      </w:pPr>
    </w:p>
    <w:p w14:paraId="7ADAB98D" w14:textId="340D571A" w:rsidR="007F0967" w:rsidRDefault="007F0967" w:rsidP="007A4368">
      <w:pPr>
        <w:spacing w:after="0"/>
        <w:ind w:left="709" w:hanging="709"/>
      </w:pPr>
    </w:p>
    <w:p w14:paraId="7ED3441A" w14:textId="09E89A7A" w:rsidR="007F0967" w:rsidRDefault="007F0967" w:rsidP="007A4368">
      <w:pPr>
        <w:spacing w:after="0"/>
        <w:ind w:left="709" w:hanging="709"/>
      </w:pPr>
    </w:p>
    <w:p w14:paraId="3B7AE5B4" w14:textId="74CB0ABF" w:rsidR="007F0967" w:rsidRDefault="007F0967" w:rsidP="007A4368">
      <w:pPr>
        <w:spacing w:after="0"/>
        <w:ind w:left="709" w:hanging="709"/>
      </w:pPr>
    </w:p>
    <w:p w14:paraId="2C6831DB" w14:textId="344D6AC3" w:rsidR="007F0967" w:rsidRDefault="007F0967" w:rsidP="007A4368">
      <w:pPr>
        <w:spacing w:after="0"/>
        <w:ind w:left="709" w:hanging="709"/>
      </w:pPr>
    </w:p>
    <w:p w14:paraId="19058A44" w14:textId="04961ADD" w:rsidR="007F0967" w:rsidRDefault="007F0967" w:rsidP="007A4368">
      <w:pPr>
        <w:spacing w:after="0"/>
        <w:ind w:left="709" w:hanging="709"/>
      </w:pPr>
    </w:p>
    <w:p w14:paraId="0D9140B1" w14:textId="186B86D1" w:rsidR="007F0967" w:rsidRDefault="007F0967" w:rsidP="007A4368">
      <w:pPr>
        <w:spacing w:after="0"/>
        <w:ind w:left="709" w:hanging="709"/>
      </w:pPr>
    </w:p>
    <w:p w14:paraId="701FC276" w14:textId="0D740E19" w:rsidR="007F0967" w:rsidRDefault="007F0967" w:rsidP="007A4368">
      <w:pPr>
        <w:spacing w:after="0"/>
        <w:ind w:left="709" w:hanging="709"/>
      </w:pPr>
    </w:p>
    <w:p w14:paraId="384D97D8" w14:textId="13C70D3E" w:rsidR="007F0967" w:rsidRDefault="007F0967" w:rsidP="007A4368">
      <w:pPr>
        <w:spacing w:after="0"/>
        <w:ind w:left="709" w:hanging="709"/>
      </w:pPr>
    </w:p>
    <w:p w14:paraId="5653B9D8" w14:textId="650D87C1" w:rsidR="007F0967" w:rsidRDefault="007F0967" w:rsidP="007A4368">
      <w:pPr>
        <w:spacing w:after="0"/>
        <w:ind w:left="709" w:hanging="709"/>
      </w:pPr>
    </w:p>
    <w:p w14:paraId="76C46D1D" w14:textId="77777777" w:rsidR="007F0967" w:rsidRDefault="007F0967" w:rsidP="007A4368">
      <w:pPr>
        <w:spacing w:after="0"/>
        <w:ind w:left="709" w:hanging="709"/>
      </w:pPr>
    </w:p>
    <w:p w14:paraId="3C10DFE6" w14:textId="77777777" w:rsidR="004F4C7C" w:rsidRDefault="004F4C7C" w:rsidP="007A4368">
      <w:pPr>
        <w:spacing w:after="0"/>
        <w:ind w:left="709" w:hanging="709"/>
      </w:pPr>
    </w:p>
    <w:p w14:paraId="5EA939D6" w14:textId="77777777" w:rsidR="00D6431B" w:rsidRDefault="00D6431B" w:rsidP="007A4368">
      <w:pPr>
        <w:spacing w:after="0"/>
        <w:ind w:left="709" w:hanging="709"/>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D6431B" w:rsidRPr="007F0967" w14:paraId="5F772C4C" w14:textId="77777777" w:rsidTr="004F4C7C">
        <w:trPr>
          <w:jc w:val="center"/>
        </w:trPr>
        <w:tc>
          <w:tcPr>
            <w:tcW w:w="3045" w:type="dxa"/>
            <w:shd w:val="clear" w:color="auto" w:fill="auto"/>
            <w:tcMar>
              <w:top w:w="100" w:type="dxa"/>
              <w:left w:w="100" w:type="dxa"/>
              <w:bottom w:w="100" w:type="dxa"/>
              <w:right w:w="100" w:type="dxa"/>
            </w:tcMar>
          </w:tcPr>
          <w:p w14:paraId="72850082" w14:textId="77777777" w:rsidR="00D6431B" w:rsidRPr="007F0967" w:rsidRDefault="00D6431B" w:rsidP="007A4368">
            <w:pPr>
              <w:pStyle w:val="Ttulo3"/>
              <w:widowControl w:val="0"/>
              <w:spacing w:before="0" w:line="240" w:lineRule="auto"/>
              <w:ind w:left="0"/>
              <w:rPr>
                <w:rFonts w:ascii="Times New Roman" w:hAnsi="Times New Roman" w:cs="Times New Roman"/>
                <w:color w:val="000000" w:themeColor="text1"/>
                <w:lang w:val="es-MX"/>
              </w:rPr>
            </w:pPr>
            <w:r w:rsidRPr="007F0967">
              <w:rPr>
                <w:rFonts w:ascii="Times New Roman" w:hAnsi="Times New Roman" w:cs="Times New Roman"/>
                <w:color w:val="000000" w:themeColor="text1"/>
                <w:lang w:val="es-MX"/>
              </w:rPr>
              <w:t>Rol de Contribución</w:t>
            </w:r>
          </w:p>
        </w:tc>
        <w:tc>
          <w:tcPr>
            <w:tcW w:w="6315" w:type="dxa"/>
            <w:shd w:val="clear" w:color="auto" w:fill="auto"/>
            <w:tcMar>
              <w:top w:w="100" w:type="dxa"/>
              <w:left w:w="100" w:type="dxa"/>
              <w:bottom w:w="100" w:type="dxa"/>
              <w:right w:w="100" w:type="dxa"/>
            </w:tcMar>
          </w:tcPr>
          <w:p w14:paraId="73715FDA" w14:textId="093553B0" w:rsidR="00D6431B" w:rsidRPr="007F0967" w:rsidRDefault="00D6431B" w:rsidP="007A4368">
            <w:pPr>
              <w:pStyle w:val="Ttulo3"/>
              <w:widowControl w:val="0"/>
              <w:spacing w:before="0" w:line="240" w:lineRule="auto"/>
              <w:ind w:left="0"/>
              <w:rPr>
                <w:rFonts w:ascii="Times New Roman" w:hAnsi="Times New Roman" w:cs="Times New Roman"/>
                <w:color w:val="000000" w:themeColor="text1"/>
                <w:lang w:val="es-MX"/>
              </w:rPr>
            </w:pPr>
            <w:bookmarkStart w:id="0" w:name="_btsjgdfgjwkr" w:colFirst="0" w:colLast="0"/>
            <w:bookmarkEnd w:id="0"/>
            <w:r w:rsidRPr="007F0967">
              <w:rPr>
                <w:rFonts w:ascii="Times New Roman" w:hAnsi="Times New Roman" w:cs="Times New Roman"/>
                <w:color w:val="000000" w:themeColor="text1"/>
                <w:lang w:val="es-MX"/>
              </w:rPr>
              <w:t>Autor (es)</w:t>
            </w:r>
          </w:p>
        </w:tc>
      </w:tr>
      <w:tr w:rsidR="00D6431B" w:rsidRPr="007F0967" w14:paraId="67C077F4" w14:textId="77777777" w:rsidTr="004F4C7C">
        <w:trPr>
          <w:jc w:val="center"/>
        </w:trPr>
        <w:tc>
          <w:tcPr>
            <w:tcW w:w="3045" w:type="dxa"/>
            <w:shd w:val="clear" w:color="auto" w:fill="auto"/>
            <w:tcMar>
              <w:top w:w="100" w:type="dxa"/>
              <w:left w:w="100" w:type="dxa"/>
              <w:bottom w:w="100" w:type="dxa"/>
              <w:right w:w="100" w:type="dxa"/>
            </w:tcMar>
          </w:tcPr>
          <w:p w14:paraId="79EB546B" w14:textId="77777777" w:rsidR="00D6431B" w:rsidRPr="007F0967" w:rsidRDefault="00D6431B" w:rsidP="007A4368">
            <w:pPr>
              <w:widowControl w:val="0"/>
              <w:spacing w:after="0" w:line="240" w:lineRule="auto"/>
              <w:rPr>
                <w:rFonts w:cs="Times New Roman"/>
                <w:b/>
                <w:color w:val="000000" w:themeColor="text1"/>
                <w:szCs w:val="24"/>
              </w:rPr>
            </w:pPr>
            <w:r w:rsidRPr="007F0967">
              <w:rPr>
                <w:rFonts w:cs="Times New Roman"/>
                <w:b/>
                <w:color w:val="000000" w:themeColor="text1"/>
                <w:szCs w:val="24"/>
              </w:rPr>
              <w:t>Conceptualización</w:t>
            </w:r>
          </w:p>
        </w:tc>
        <w:tc>
          <w:tcPr>
            <w:tcW w:w="6315" w:type="dxa"/>
            <w:shd w:val="clear" w:color="auto" w:fill="auto"/>
            <w:tcMar>
              <w:top w:w="100" w:type="dxa"/>
              <w:left w:w="100" w:type="dxa"/>
              <w:bottom w:w="100" w:type="dxa"/>
              <w:right w:w="100" w:type="dxa"/>
            </w:tcMar>
          </w:tcPr>
          <w:p w14:paraId="541293E4" w14:textId="5416017F" w:rsidR="00D6431B" w:rsidRPr="007F0967" w:rsidRDefault="00D6431B" w:rsidP="007A4368">
            <w:pPr>
              <w:widowControl w:val="0"/>
              <w:spacing w:after="0" w:line="240" w:lineRule="auto"/>
              <w:rPr>
                <w:rFonts w:cs="Times New Roman"/>
                <w:bCs/>
                <w:color w:val="000000" w:themeColor="text1"/>
                <w:szCs w:val="24"/>
              </w:rPr>
            </w:pPr>
            <w:r w:rsidRPr="007F0967">
              <w:rPr>
                <w:rFonts w:cs="Times New Roman"/>
                <w:bCs/>
                <w:color w:val="000000" w:themeColor="text1"/>
                <w:szCs w:val="24"/>
              </w:rPr>
              <w:t>Participación igual de: Susana Marceleño Flores, Rebeca de Haro Mota y Oyolsi Nájera González.</w:t>
            </w:r>
          </w:p>
        </w:tc>
      </w:tr>
      <w:tr w:rsidR="00D6431B" w:rsidRPr="007F0967" w14:paraId="0FE14F32" w14:textId="77777777" w:rsidTr="004F4C7C">
        <w:trPr>
          <w:jc w:val="center"/>
        </w:trPr>
        <w:tc>
          <w:tcPr>
            <w:tcW w:w="3045" w:type="dxa"/>
            <w:shd w:val="clear" w:color="auto" w:fill="auto"/>
            <w:tcMar>
              <w:top w:w="100" w:type="dxa"/>
              <w:left w:w="100" w:type="dxa"/>
              <w:bottom w:w="100" w:type="dxa"/>
              <w:right w:w="100" w:type="dxa"/>
            </w:tcMar>
          </w:tcPr>
          <w:p w14:paraId="5DC6BB95" w14:textId="77777777" w:rsidR="00D6431B" w:rsidRPr="007F0967" w:rsidRDefault="00D6431B" w:rsidP="007A4368">
            <w:pPr>
              <w:widowControl w:val="0"/>
              <w:spacing w:after="0" w:line="240" w:lineRule="auto"/>
              <w:rPr>
                <w:rFonts w:cs="Times New Roman"/>
                <w:b/>
                <w:color w:val="000000" w:themeColor="text1"/>
                <w:szCs w:val="24"/>
              </w:rPr>
            </w:pPr>
            <w:r w:rsidRPr="007F0967">
              <w:rPr>
                <w:rFonts w:cs="Times New Roman"/>
                <w:b/>
                <w:color w:val="000000" w:themeColor="text1"/>
                <w:szCs w:val="24"/>
              </w:rPr>
              <w:t>Metodología</w:t>
            </w:r>
          </w:p>
        </w:tc>
        <w:tc>
          <w:tcPr>
            <w:tcW w:w="6315" w:type="dxa"/>
            <w:shd w:val="clear" w:color="auto" w:fill="auto"/>
            <w:tcMar>
              <w:top w:w="100" w:type="dxa"/>
              <w:left w:w="100" w:type="dxa"/>
              <w:bottom w:w="100" w:type="dxa"/>
              <w:right w:w="100" w:type="dxa"/>
            </w:tcMar>
          </w:tcPr>
          <w:p w14:paraId="2C172B35" w14:textId="191AEFCA" w:rsidR="00D6431B" w:rsidRPr="007F0967" w:rsidRDefault="00D058C4" w:rsidP="007A4368">
            <w:pPr>
              <w:widowControl w:val="0"/>
              <w:spacing w:after="0" w:line="240" w:lineRule="auto"/>
              <w:rPr>
                <w:rFonts w:cs="Times New Roman"/>
                <w:bCs/>
                <w:color w:val="000000" w:themeColor="text1"/>
                <w:szCs w:val="24"/>
              </w:rPr>
            </w:pPr>
            <w:r w:rsidRPr="007F0967">
              <w:rPr>
                <w:rFonts w:cs="Times New Roman"/>
                <w:bCs/>
                <w:color w:val="000000" w:themeColor="text1"/>
                <w:szCs w:val="24"/>
              </w:rPr>
              <w:t xml:space="preserve">Principal: </w:t>
            </w:r>
            <w:r w:rsidR="00D6431B" w:rsidRPr="007F0967">
              <w:rPr>
                <w:rFonts w:cs="Times New Roman"/>
                <w:bCs/>
                <w:color w:val="000000" w:themeColor="text1"/>
                <w:szCs w:val="24"/>
              </w:rPr>
              <w:t>Susana Marceleño Flores</w:t>
            </w:r>
          </w:p>
        </w:tc>
      </w:tr>
      <w:tr w:rsidR="00D6431B" w:rsidRPr="007F0967" w14:paraId="323A9547" w14:textId="77777777" w:rsidTr="004F4C7C">
        <w:trPr>
          <w:jc w:val="center"/>
        </w:trPr>
        <w:tc>
          <w:tcPr>
            <w:tcW w:w="3045" w:type="dxa"/>
            <w:shd w:val="clear" w:color="auto" w:fill="auto"/>
            <w:tcMar>
              <w:top w:w="100" w:type="dxa"/>
              <w:left w:w="100" w:type="dxa"/>
              <w:bottom w:w="100" w:type="dxa"/>
              <w:right w:w="100" w:type="dxa"/>
            </w:tcMar>
          </w:tcPr>
          <w:p w14:paraId="51A7FAD1" w14:textId="77777777" w:rsidR="00D6431B" w:rsidRPr="007F0967" w:rsidRDefault="00D6431B" w:rsidP="007A4368">
            <w:pPr>
              <w:widowControl w:val="0"/>
              <w:spacing w:after="0" w:line="240" w:lineRule="auto"/>
              <w:rPr>
                <w:rFonts w:cs="Times New Roman"/>
                <w:b/>
                <w:color w:val="000000" w:themeColor="text1"/>
                <w:szCs w:val="24"/>
              </w:rPr>
            </w:pPr>
            <w:r w:rsidRPr="007F0967">
              <w:rPr>
                <w:rFonts w:cs="Times New Roman"/>
                <w:b/>
                <w:color w:val="000000" w:themeColor="text1"/>
                <w:szCs w:val="24"/>
              </w:rPr>
              <w:t>Software</w:t>
            </w:r>
          </w:p>
        </w:tc>
        <w:tc>
          <w:tcPr>
            <w:tcW w:w="6315" w:type="dxa"/>
            <w:shd w:val="clear" w:color="auto" w:fill="auto"/>
            <w:tcMar>
              <w:top w:w="100" w:type="dxa"/>
              <w:left w:w="100" w:type="dxa"/>
              <w:bottom w:w="100" w:type="dxa"/>
              <w:right w:w="100" w:type="dxa"/>
            </w:tcMar>
          </w:tcPr>
          <w:p w14:paraId="344E12F8" w14:textId="7E4EE16E" w:rsidR="00D6431B" w:rsidRPr="007F0967" w:rsidRDefault="00D6431B" w:rsidP="007A4368">
            <w:pPr>
              <w:widowControl w:val="0"/>
              <w:spacing w:after="0" w:line="240" w:lineRule="auto"/>
              <w:rPr>
                <w:rFonts w:cs="Times New Roman"/>
                <w:bCs/>
                <w:color w:val="000000" w:themeColor="text1"/>
                <w:szCs w:val="24"/>
              </w:rPr>
            </w:pPr>
            <w:r w:rsidRPr="007F0967">
              <w:rPr>
                <w:rFonts w:cs="Times New Roman"/>
                <w:bCs/>
                <w:color w:val="000000" w:themeColor="text1"/>
                <w:szCs w:val="24"/>
              </w:rPr>
              <w:t>No aplica</w:t>
            </w:r>
          </w:p>
        </w:tc>
      </w:tr>
      <w:tr w:rsidR="00D6431B" w:rsidRPr="007F0967" w14:paraId="03686D25" w14:textId="77777777" w:rsidTr="004F4C7C">
        <w:trPr>
          <w:jc w:val="center"/>
        </w:trPr>
        <w:tc>
          <w:tcPr>
            <w:tcW w:w="3045" w:type="dxa"/>
            <w:shd w:val="clear" w:color="auto" w:fill="auto"/>
            <w:tcMar>
              <w:top w:w="100" w:type="dxa"/>
              <w:left w:w="100" w:type="dxa"/>
              <w:bottom w:w="100" w:type="dxa"/>
              <w:right w:w="100" w:type="dxa"/>
            </w:tcMar>
          </w:tcPr>
          <w:p w14:paraId="0C7D8ED3" w14:textId="77777777" w:rsidR="00D6431B" w:rsidRPr="007F0967" w:rsidRDefault="00D6431B" w:rsidP="007A4368">
            <w:pPr>
              <w:widowControl w:val="0"/>
              <w:spacing w:after="0" w:line="240" w:lineRule="auto"/>
              <w:rPr>
                <w:rFonts w:cs="Times New Roman"/>
                <w:b/>
                <w:color w:val="000000" w:themeColor="text1"/>
                <w:szCs w:val="24"/>
              </w:rPr>
            </w:pPr>
            <w:r w:rsidRPr="007F0967">
              <w:rPr>
                <w:rFonts w:cs="Times New Roman"/>
                <w:b/>
                <w:color w:val="000000" w:themeColor="text1"/>
                <w:szCs w:val="24"/>
              </w:rPr>
              <w:t>Validación</w:t>
            </w:r>
          </w:p>
        </w:tc>
        <w:tc>
          <w:tcPr>
            <w:tcW w:w="6315" w:type="dxa"/>
            <w:shd w:val="clear" w:color="auto" w:fill="auto"/>
            <w:tcMar>
              <w:top w:w="100" w:type="dxa"/>
              <w:left w:w="100" w:type="dxa"/>
              <w:bottom w:w="100" w:type="dxa"/>
              <w:right w:w="100" w:type="dxa"/>
            </w:tcMar>
          </w:tcPr>
          <w:p w14:paraId="47DCF9D0" w14:textId="1B28DE6C" w:rsidR="00D6431B" w:rsidRPr="007F0967" w:rsidRDefault="00D6431B" w:rsidP="007A4368">
            <w:pPr>
              <w:widowControl w:val="0"/>
              <w:spacing w:after="0" w:line="240" w:lineRule="auto"/>
              <w:rPr>
                <w:rFonts w:cs="Times New Roman"/>
                <w:bCs/>
                <w:color w:val="000000" w:themeColor="text1"/>
                <w:szCs w:val="24"/>
              </w:rPr>
            </w:pPr>
            <w:r w:rsidRPr="007F0967">
              <w:rPr>
                <w:rFonts w:cs="Times New Roman"/>
                <w:bCs/>
                <w:color w:val="000000" w:themeColor="text1"/>
                <w:szCs w:val="24"/>
              </w:rPr>
              <w:t>Participación igual de: Susana Marceleño Flores, Rebeca de Haro Mota y Oyolsi Nájera González</w:t>
            </w:r>
          </w:p>
        </w:tc>
      </w:tr>
      <w:tr w:rsidR="00D6431B" w:rsidRPr="007F0967" w14:paraId="75F9A3B8" w14:textId="77777777" w:rsidTr="004F4C7C">
        <w:trPr>
          <w:jc w:val="center"/>
        </w:trPr>
        <w:tc>
          <w:tcPr>
            <w:tcW w:w="3045" w:type="dxa"/>
            <w:shd w:val="clear" w:color="auto" w:fill="auto"/>
            <w:tcMar>
              <w:top w:w="100" w:type="dxa"/>
              <w:left w:w="100" w:type="dxa"/>
              <w:bottom w:w="100" w:type="dxa"/>
              <w:right w:w="100" w:type="dxa"/>
            </w:tcMar>
          </w:tcPr>
          <w:p w14:paraId="582FC9FB" w14:textId="77777777" w:rsidR="00D6431B" w:rsidRPr="007F0967" w:rsidRDefault="00D6431B" w:rsidP="007A4368">
            <w:pPr>
              <w:widowControl w:val="0"/>
              <w:spacing w:after="0" w:line="240" w:lineRule="auto"/>
              <w:rPr>
                <w:rFonts w:cs="Times New Roman"/>
                <w:b/>
                <w:color w:val="000000" w:themeColor="text1"/>
                <w:szCs w:val="24"/>
              </w:rPr>
            </w:pPr>
            <w:r w:rsidRPr="007F0967">
              <w:rPr>
                <w:rFonts w:cs="Times New Roman"/>
                <w:b/>
                <w:color w:val="000000" w:themeColor="text1"/>
                <w:szCs w:val="24"/>
              </w:rPr>
              <w:t>Análisis Formal</w:t>
            </w:r>
          </w:p>
        </w:tc>
        <w:tc>
          <w:tcPr>
            <w:tcW w:w="6315" w:type="dxa"/>
            <w:shd w:val="clear" w:color="auto" w:fill="auto"/>
            <w:tcMar>
              <w:top w:w="100" w:type="dxa"/>
              <w:left w:w="100" w:type="dxa"/>
              <w:bottom w:w="100" w:type="dxa"/>
              <w:right w:w="100" w:type="dxa"/>
            </w:tcMar>
          </w:tcPr>
          <w:p w14:paraId="3C647C19" w14:textId="287F7C71" w:rsidR="00D6431B" w:rsidRPr="007F0967" w:rsidRDefault="00D058C4" w:rsidP="007A4368">
            <w:pPr>
              <w:widowControl w:val="0"/>
              <w:spacing w:after="0" w:line="240" w:lineRule="auto"/>
              <w:rPr>
                <w:rFonts w:cs="Times New Roman"/>
                <w:bCs/>
                <w:color w:val="000000" w:themeColor="text1"/>
                <w:szCs w:val="24"/>
              </w:rPr>
            </w:pPr>
            <w:r w:rsidRPr="007F0967">
              <w:rPr>
                <w:rFonts w:cs="Times New Roman"/>
                <w:bCs/>
                <w:color w:val="000000" w:themeColor="text1"/>
                <w:szCs w:val="24"/>
              </w:rPr>
              <w:t xml:space="preserve">Principal: </w:t>
            </w:r>
            <w:r w:rsidR="00D6431B" w:rsidRPr="007F0967">
              <w:rPr>
                <w:rFonts w:cs="Times New Roman"/>
                <w:bCs/>
                <w:color w:val="000000" w:themeColor="text1"/>
                <w:szCs w:val="24"/>
              </w:rPr>
              <w:t>Rebeca de Haro Mota</w:t>
            </w:r>
          </w:p>
        </w:tc>
      </w:tr>
      <w:tr w:rsidR="00D6431B" w:rsidRPr="007F0967" w14:paraId="76AA90B4" w14:textId="77777777" w:rsidTr="004F4C7C">
        <w:trPr>
          <w:jc w:val="center"/>
        </w:trPr>
        <w:tc>
          <w:tcPr>
            <w:tcW w:w="3045" w:type="dxa"/>
            <w:shd w:val="clear" w:color="auto" w:fill="auto"/>
            <w:tcMar>
              <w:top w:w="100" w:type="dxa"/>
              <w:left w:w="100" w:type="dxa"/>
              <w:bottom w:w="100" w:type="dxa"/>
              <w:right w:w="100" w:type="dxa"/>
            </w:tcMar>
          </w:tcPr>
          <w:p w14:paraId="050AC57B" w14:textId="77777777" w:rsidR="00D6431B" w:rsidRPr="007F0967" w:rsidRDefault="00D6431B" w:rsidP="007A4368">
            <w:pPr>
              <w:widowControl w:val="0"/>
              <w:spacing w:after="0" w:line="240" w:lineRule="auto"/>
              <w:rPr>
                <w:rFonts w:cs="Times New Roman"/>
                <w:b/>
                <w:color w:val="000000" w:themeColor="text1"/>
                <w:szCs w:val="24"/>
              </w:rPr>
            </w:pPr>
            <w:r w:rsidRPr="007F0967">
              <w:rPr>
                <w:rFonts w:cs="Times New Roman"/>
                <w:b/>
                <w:color w:val="000000" w:themeColor="text1"/>
                <w:szCs w:val="24"/>
              </w:rPr>
              <w:t>Investigación</w:t>
            </w:r>
          </w:p>
        </w:tc>
        <w:tc>
          <w:tcPr>
            <w:tcW w:w="6315" w:type="dxa"/>
            <w:shd w:val="clear" w:color="auto" w:fill="auto"/>
            <w:tcMar>
              <w:top w:w="100" w:type="dxa"/>
              <w:left w:w="100" w:type="dxa"/>
              <w:bottom w:w="100" w:type="dxa"/>
              <w:right w:w="100" w:type="dxa"/>
            </w:tcMar>
          </w:tcPr>
          <w:p w14:paraId="0946A813" w14:textId="14EDF181" w:rsidR="00D6431B" w:rsidRPr="007F0967" w:rsidRDefault="00D6431B" w:rsidP="007A4368">
            <w:pPr>
              <w:widowControl w:val="0"/>
              <w:spacing w:after="0" w:line="240" w:lineRule="auto"/>
              <w:rPr>
                <w:rFonts w:cs="Times New Roman"/>
                <w:bCs/>
                <w:color w:val="000000" w:themeColor="text1"/>
                <w:szCs w:val="24"/>
              </w:rPr>
            </w:pPr>
            <w:r w:rsidRPr="007F0967">
              <w:rPr>
                <w:rFonts w:cs="Times New Roman"/>
                <w:bCs/>
                <w:color w:val="000000" w:themeColor="text1"/>
                <w:szCs w:val="24"/>
              </w:rPr>
              <w:t>Participación igual de: Susana Marceleño Flores, Rebeca de Haro Mota y Oyolsi Nájera González</w:t>
            </w:r>
          </w:p>
        </w:tc>
      </w:tr>
      <w:tr w:rsidR="00D6431B" w:rsidRPr="007F0967" w14:paraId="21C86F6F" w14:textId="77777777" w:rsidTr="004F4C7C">
        <w:trPr>
          <w:jc w:val="center"/>
        </w:trPr>
        <w:tc>
          <w:tcPr>
            <w:tcW w:w="3045" w:type="dxa"/>
            <w:shd w:val="clear" w:color="auto" w:fill="auto"/>
            <w:tcMar>
              <w:top w:w="100" w:type="dxa"/>
              <w:left w:w="100" w:type="dxa"/>
              <w:bottom w:w="100" w:type="dxa"/>
              <w:right w:w="100" w:type="dxa"/>
            </w:tcMar>
          </w:tcPr>
          <w:p w14:paraId="087E4540" w14:textId="77777777" w:rsidR="00D6431B" w:rsidRPr="007F0967" w:rsidRDefault="00D6431B" w:rsidP="007A4368">
            <w:pPr>
              <w:widowControl w:val="0"/>
              <w:spacing w:after="0" w:line="240" w:lineRule="auto"/>
              <w:rPr>
                <w:rFonts w:cs="Times New Roman"/>
                <w:b/>
                <w:color w:val="000000" w:themeColor="text1"/>
                <w:szCs w:val="24"/>
              </w:rPr>
            </w:pPr>
            <w:r w:rsidRPr="007F0967">
              <w:rPr>
                <w:rFonts w:cs="Times New Roman"/>
                <w:b/>
                <w:color w:val="000000" w:themeColor="text1"/>
                <w:szCs w:val="24"/>
              </w:rPr>
              <w:t>Recursos</w:t>
            </w:r>
          </w:p>
        </w:tc>
        <w:tc>
          <w:tcPr>
            <w:tcW w:w="6315" w:type="dxa"/>
            <w:shd w:val="clear" w:color="auto" w:fill="auto"/>
            <w:tcMar>
              <w:top w:w="100" w:type="dxa"/>
              <w:left w:w="100" w:type="dxa"/>
              <w:bottom w:w="100" w:type="dxa"/>
              <w:right w:w="100" w:type="dxa"/>
            </w:tcMar>
          </w:tcPr>
          <w:p w14:paraId="6F336577" w14:textId="208F1210" w:rsidR="00D6431B" w:rsidRPr="007F0967" w:rsidRDefault="00D6431B" w:rsidP="007A4368">
            <w:pPr>
              <w:widowControl w:val="0"/>
              <w:spacing w:after="0" w:line="240" w:lineRule="auto"/>
              <w:rPr>
                <w:rFonts w:cs="Times New Roman"/>
                <w:bCs/>
                <w:color w:val="000000" w:themeColor="text1"/>
                <w:szCs w:val="24"/>
              </w:rPr>
            </w:pPr>
            <w:r w:rsidRPr="007F0967">
              <w:rPr>
                <w:rFonts w:cs="Times New Roman"/>
                <w:bCs/>
                <w:color w:val="000000" w:themeColor="text1"/>
                <w:szCs w:val="24"/>
              </w:rPr>
              <w:t>Principal: Susana Marceleño Flores</w:t>
            </w:r>
          </w:p>
        </w:tc>
      </w:tr>
      <w:tr w:rsidR="00D6431B" w:rsidRPr="007F0967" w14:paraId="35176585" w14:textId="77777777" w:rsidTr="004F4C7C">
        <w:trPr>
          <w:jc w:val="center"/>
        </w:trPr>
        <w:tc>
          <w:tcPr>
            <w:tcW w:w="3045" w:type="dxa"/>
            <w:shd w:val="clear" w:color="auto" w:fill="auto"/>
            <w:tcMar>
              <w:top w:w="100" w:type="dxa"/>
              <w:left w:w="100" w:type="dxa"/>
              <w:bottom w:w="100" w:type="dxa"/>
              <w:right w:w="100" w:type="dxa"/>
            </w:tcMar>
          </w:tcPr>
          <w:p w14:paraId="2167A9B4" w14:textId="77777777" w:rsidR="00D6431B" w:rsidRPr="007F0967" w:rsidRDefault="00D6431B" w:rsidP="007A4368">
            <w:pPr>
              <w:widowControl w:val="0"/>
              <w:spacing w:after="0" w:line="240" w:lineRule="auto"/>
              <w:rPr>
                <w:rFonts w:cs="Times New Roman"/>
                <w:b/>
                <w:color w:val="000000" w:themeColor="text1"/>
                <w:szCs w:val="24"/>
              </w:rPr>
            </w:pPr>
            <w:r w:rsidRPr="007F0967">
              <w:rPr>
                <w:rFonts w:cs="Times New Roman"/>
                <w:b/>
                <w:color w:val="000000" w:themeColor="text1"/>
                <w:szCs w:val="24"/>
              </w:rPr>
              <w:t>Curación de datos</w:t>
            </w:r>
          </w:p>
        </w:tc>
        <w:tc>
          <w:tcPr>
            <w:tcW w:w="6315" w:type="dxa"/>
            <w:shd w:val="clear" w:color="auto" w:fill="auto"/>
            <w:tcMar>
              <w:top w:w="100" w:type="dxa"/>
              <w:left w:w="100" w:type="dxa"/>
              <w:bottom w:w="100" w:type="dxa"/>
              <w:right w:w="100" w:type="dxa"/>
            </w:tcMar>
          </w:tcPr>
          <w:p w14:paraId="20E61098" w14:textId="3DD5B977" w:rsidR="00D6431B" w:rsidRPr="007F0967" w:rsidRDefault="00D058C4" w:rsidP="007A4368">
            <w:pPr>
              <w:widowControl w:val="0"/>
              <w:spacing w:after="0" w:line="240" w:lineRule="auto"/>
              <w:rPr>
                <w:rFonts w:cs="Times New Roman"/>
                <w:bCs/>
                <w:color w:val="000000" w:themeColor="text1"/>
                <w:szCs w:val="24"/>
              </w:rPr>
            </w:pPr>
            <w:r w:rsidRPr="007F0967">
              <w:rPr>
                <w:rFonts w:cs="Times New Roman"/>
                <w:bCs/>
                <w:color w:val="000000" w:themeColor="text1"/>
                <w:szCs w:val="24"/>
              </w:rPr>
              <w:t xml:space="preserve">Principal: </w:t>
            </w:r>
            <w:r w:rsidR="00D6431B" w:rsidRPr="007F0967">
              <w:rPr>
                <w:rFonts w:cs="Times New Roman"/>
                <w:bCs/>
                <w:color w:val="000000" w:themeColor="text1"/>
                <w:szCs w:val="24"/>
              </w:rPr>
              <w:t>Rebeca de Haro Mota</w:t>
            </w:r>
          </w:p>
        </w:tc>
      </w:tr>
      <w:tr w:rsidR="00D6431B" w:rsidRPr="007F0967" w14:paraId="176AE9AB" w14:textId="77777777" w:rsidTr="004F4C7C">
        <w:trPr>
          <w:jc w:val="center"/>
        </w:trPr>
        <w:tc>
          <w:tcPr>
            <w:tcW w:w="3045" w:type="dxa"/>
            <w:shd w:val="clear" w:color="auto" w:fill="auto"/>
            <w:tcMar>
              <w:top w:w="100" w:type="dxa"/>
              <w:left w:w="100" w:type="dxa"/>
              <w:bottom w:w="100" w:type="dxa"/>
              <w:right w:w="100" w:type="dxa"/>
            </w:tcMar>
          </w:tcPr>
          <w:p w14:paraId="5D9E7209" w14:textId="77777777" w:rsidR="00D6431B" w:rsidRPr="007F0967" w:rsidRDefault="00D6431B" w:rsidP="007A4368">
            <w:pPr>
              <w:widowControl w:val="0"/>
              <w:spacing w:after="0" w:line="240" w:lineRule="auto"/>
              <w:rPr>
                <w:rFonts w:cs="Times New Roman"/>
                <w:b/>
                <w:color w:val="000000" w:themeColor="text1"/>
                <w:szCs w:val="24"/>
              </w:rPr>
            </w:pPr>
            <w:r w:rsidRPr="007F0967">
              <w:rPr>
                <w:rFonts w:cs="Times New Roman"/>
                <w:b/>
                <w:color w:val="000000" w:themeColor="text1"/>
                <w:szCs w:val="24"/>
              </w:rPr>
              <w:t>Escritura - Preparación del borrador original</w:t>
            </w:r>
          </w:p>
        </w:tc>
        <w:tc>
          <w:tcPr>
            <w:tcW w:w="6315" w:type="dxa"/>
            <w:shd w:val="clear" w:color="auto" w:fill="auto"/>
            <w:tcMar>
              <w:top w:w="100" w:type="dxa"/>
              <w:left w:w="100" w:type="dxa"/>
              <w:bottom w:w="100" w:type="dxa"/>
              <w:right w:w="100" w:type="dxa"/>
            </w:tcMar>
          </w:tcPr>
          <w:p w14:paraId="2289B17E" w14:textId="1F1A257F" w:rsidR="00D6431B" w:rsidRPr="007F0967" w:rsidRDefault="00D6431B" w:rsidP="007A4368">
            <w:pPr>
              <w:widowControl w:val="0"/>
              <w:spacing w:after="0" w:line="240" w:lineRule="auto"/>
              <w:rPr>
                <w:rFonts w:cs="Times New Roman"/>
                <w:bCs/>
                <w:color w:val="000000" w:themeColor="text1"/>
                <w:szCs w:val="24"/>
              </w:rPr>
            </w:pPr>
            <w:r w:rsidRPr="007F0967">
              <w:rPr>
                <w:rFonts w:cs="Times New Roman"/>
                <w:bCs/>
                <w:color w:val="000000" w:themeColor="text1"/>
                <w:szCs w:val="24"/>
              </w:rPr>
              <w:t>Participación igual de: Susana Marceleño Flores, Rebeca de Haro Mota y Oyolsi Nájera González</w:t>
            </w:r>
          </w:p>
        </w:tc>
      </w:tr>
      <w:tr w:rsidR="00D6431B" w:rsidRPr="007F0967" w14:paraId="0D48AAED" w14:textId="77777777" w:rsidTr="004F4C7C">
        <w:trPr>
          <w:jc w:val="center"/>
        </w:trPr>
        <w:tc>
          <w:tcPr>
            <w:tcW w:w="3045" w:type="dxa"/>
            <w:shd w:val="clear" w:color="auto" w:fill="auto"/>
            <w:tcMar>
              <w:top w:w="100" w:type="dxa"/>
              <w:left w:w="100" w:type="dxa"/>
              <w:bottom w:w="100" w:type="dxa"/>
              <w:right w:w="100" w:type="dxa"/>
            </w:tcMar>
          </w:tcPr>
          <w:p w14:paraId="7B93161E" w14:textId="77777777" w:rsidR="00D6431B" w:rsidRPr="007F0967" w:rsidRDefault="00D6431B" w:rsidP="007A4368">
            <w:pPr>
              <w:widowControl w:val="0"/>
              <w:spacing w:after="0" w:line="240" w:lineRule="auto"/>
              <w:rPr>
                <w:rFonts w:cs="Times New Roman"/>
                <w:b/>
                <w:color w:val="000000" w:themeColor="text1"/>
                <w:szCs w:val="24"/>
              </w:rPr>
            </w:pPr>
            <w:r w:rsidRPr="007F0967">
              <w:rPr>
                <w:rFonts w:cs="Times New Roman"/>
                <w:b/>
                <w:color w:val="000000" w:themeColor="text1"/>
                <w:szCs w:val="24"/>
              </w:rPr>
              <w:t>Escritura - Revisión y edición</w:t>
            </w:r>
          </w:p>
        </w:tc>
        <w:tc>
          <w:tcPr>
            <w:tcW w:w="6315" w:type="dxa"/>
            <w:shd w:val="clear" w:color="auto" w:fill="auto"/>
            <w:tcMar>
              <w:top w:w="100" w:type="dxa"/>
              <w:left w:w="100" w:type="dxa"/>
              <w:bottom w:w="100" w:type="dxa"/>
              <w:right w:w="100" w:type="dxa"/>
            </w:tcMar>
          </w:tcPr>
          <w:p w14:paraId="54C4644C" w14:textId="2FD58A01" w:rsidR="00D6431B" w:rsidRPr="007F0967" w:rsidRDefault="00D6431B" w:rsidP="007A4368">
            <w:pPr>
              <w:widowControl w:val="0"/>
              <w:spacing w:after="0" w:line="240" w:lineRule="auto"/>
              <w:rPr>
                <w:rFonts w:cs="Times New Roman"/>
                <w:bCs/>
                <w:color w:val="000000" w:themeColor="text1"/>
                <w:szCs w:val="24"/>
              </w:rPr>
            </w:pPr>
            <w:r w:rsidRPr="007F0967">
              <w:rPr>
                <w:rFonts w:cs="Times New Roman"/>
                <w:bCs/>
                <w:color w:val="000000" w:themeColor="text1"/>
                <w:szCs w:val="24"/>
              </w:rPr>
              <w:t>Participación igual de: Susana Marceleño Flores, Rebeca de Haro Mota y Oyolsi Nájera González</w:t>
            </w:r>
          </w:p>
        </w:tc>
      </w:tr>
      <w:tr w:rsidR="00D6431B" w:rsidRPr="007F0967" w14:paraId="715D6FC9" w14:textId="77777777" w:rsidTr="004F4C7C">
        <w:trPr>
          <w:jc w:val="center"/>
        </w:trPr>
        <w:tc>
          <w:tcPr>
            <w:tcW w:w="3045" w:type="dxa"/>
            <w:shd w:val="clear" w:color="auto" w:fill="auto"/>
            <w:tcMar>
              <w:top w:w="100" w:type="dxa"/>
              <w:left w:w="100" w:type="dxa"/>
              <w:bottom w:w="100" w:type="dxa"/>
              <w:right w:w="100" w:type="dxa"/>
            </w:tcMar>
          </w:tcPr>
          <w:p w14:paraId="37D20E7B" w14:textId="77777777" w:rsidR="00D6431B" w:rsidRPr="007F0967" w:rsidRDefault="00D6431B" w:rsidP="007A4368">
            <w:pPr>
              <w:widowControl w:val="0"/>
              <w:spacing w:after="0" w:line="240" w:lineRule="auto"/>
              <w:rPr>
                <w:rFonts w:cs="Times New Roman"/>
                <w:b/>
                <w:color w:val="000000" w:themeColor="text1"/>
                <w:szCs w:val="24"/>
              </w:rPr>
            </w:pPr>
            <w:r w:rsidRPr="007F0967">
              <w:rPr>
                <w:rFonts w:cs="Times New Roman"/>
                <w:b/>
                <w:color w:val="000000" w:themeColor="text1"/>
                <w:szCs w:val="24"/>
              </w:rPr>
              <w:t>Visualización</w:t>
            </w:r>
          </w:p>
        </w:tc>
        <w:tc>
          <w:tcPr>
            <w:tcW w:w="6315" w:type="dxa"/>
            <w:shd w:val="clear" w:color="auto" w:fill="auto"/>
            <w:tcMar>
              <w:top w:w="100" w:type="dxa"/>
              <w:left w:w="100" w:type="dxa"/>
              <w:bottom w:w="100" w:type="dxa"/>
              <w:right w:w="100" w:type="dxa"/>
            </w:tcMar>
          </w:tcPr>
          <w:p w14:paraId="108249FF" w14:textId="090F7E5B" w:rsidR="00D6431B" w:rsidRPr="007F0967" w:rsidRDefault="00D6431B" w:rsidP="007A4368">
            <w:pPr>
              <w:widowControl w:val="0"/>
              <w:spacing w:after="0" w:line="240" w:lineRule="auto"/>
              <w:rPr>
                <w:rFonts w:cs="Times New Roman"/>
                <w:bCs/>
                <w:color w:val="000000" w:themeColor="text1"/>
                <w:szCs w:val="24"/>
              </w:rPr>
            </w:pPr>
            <w:r w:rsidRPr="007F0967">
              <w:rPr>
                <w:rFonts w:cs="Times New Roman"/>
                <w:bCs/>
                <w:color w:val="000000" w:themeColor="text1"/>
                <w:szCs w:val="24"/>
              </w:rPr>
              <w:t>Participación igual de: Susana Marceleño Flores, Rebeca de Haro Mota y Oyolsi Nájera González</w:t>
            </w:r>
          </w:p>
        </w:tc>
      </w:tr>
      <w:tr w:rsidR="00D6431B" w:rsidRPr="007F0967" w14:paraId="1A67C0DD" w14:textId="77777777" w:rsidTr="004F4C7C">
        <w:trPr>
          <w:jc w:val="center"/>
        </w:trPr>
        <w:tc>
          <w:tcPr>
            <w:tcW w:w="3045" w:type="dxa"/>
            <w:shd w:val="clear" w:color="auto" w:fill="auto"/>
            <w:tcMar>
              <w:top w:w="100" w:type="dxa"/>
              <w:left w:w="100" w:type="dxa"/>
              <w:bottom w:w="100" w:type="dxa"/>
              <w:right w:w="100" w:type="dxa"/>
            </w:tcMar>
          </w:tcPr>
          <w:p w14:paraId="28965C0B" w14:textId="77777777" w:rsidR="00D6431B" w:rsidRPr="007F0967" w:rsidRDefault="00D6431B" w:rsidP="007A4368">
            <w:pPr>
              <w:widowControl w:val="0"/>
              <w:spacing w:after="0" w:line="240" w:lineRule="auto"/>
              <w:rPr>
                <w:rFonts w:cs="Times New Roman"/>
                <w:b/>
                <w:color w:val="000000" w:themeColor="text1"/>
                <w:szCs w:val="24"/>
              </w:rPr>
            </w:pPr>
            <w:r w:rsidRPr="007F0967">
              <w:rPr>
                <w:rFonts w:cs="Times New Roman"/>
                <w:b/>
                <w:color w:val="000000" w:themeColor="text1"/>
                <w:szCs w:val="24"/>
              </w:rPr>
              <w:t>Supervisión</w:t>
            </w:r>
          </w:p>
        </w:tc>
        <w:tc>
          <w:tcPr>
            <w:tcW w:w="6315" w:type="dxa"/>
            <w:shd w:val="clear" w:color="auto" w:fill="auto"/>
            <w:tcMar>
              <w:top w:w="100" w:type="dxa"/>
              <w:left w:w="100" w:type="dxa"/>
              <w:bottom w:w="100" w:type="dxa"/>
              <w:right w:w="100" w:type="dxa"/>
            </w:tcMar>
          </w:tcPr>
          <w:p w14:paraId="2B55ECBC" w14:textId="69BC6B7D" w:rsidR="00D6431B" w:rsidRPr="007F0967" w:rsidRDefault="00D6431B" w:rsidP="007A4368">
            <w:pPr>
              <w:widowControl w:val="0"/>
              <w:spacing w:after="0" w:line="240" w:lineRule="auto"/>
              <w:rPr>
                <w:rFonts w:cs="Times New Roman"/>
                <w:bCs/>
                <w:color w:val="000000" w:themeColor="text1"/>
                <w:szCs w:val="24"/>
              </w:rPr>
            </w:pPr>
            <w:r w:rsidRPr="007F0967">
              <w:rPr>
                <w:rFonts w:cs="Times New Roman"/>
                <w:bCs/>
                <w:color w:val="000000" w:themeColor="text1"/>
                <w:szCs w:val="24"/>
              </w:rPr>
              <w:t>Susana Marceleño Flores</w:t>
            </w:r>
          </w:p>
        </w:tc>
      </w:tr>
      <w:tr w:rsidR="00D6431B" w:rsidRPr="007F0967" w14:paraId="58A70AD6" w14:textId="77777777" w:rsidTr="004F4C7C">
        <w:trPr>
          <w:jc w:val="center"/>
        </w:trPr>
        <w:tc>
          <w:tcPr>
            <w:tcW w:w="3045" w:type="dxa"/>
            <w:shd w:val="clear" w:color="auto" w:fill="auto"/>
            <w:tcMar>
              <w:top w:w="100" w:type="dxa"/>
              <w:left w:w="100" w:type="dxa"/>
              <w:bottom w:w="100" w:type="dxa"/>
              <w:right w:w="100" w:type="dxa"/>
            </w:tcMar>
          </w:tcPr>
          <w:p w14:paraId="195EAC97" w14:textId="77777777" w:rsidR="00D6431B" w:rsidRPr="007F0967" w:rsidRDefault="00D6431B" w:rsidP="007A4368">
            <w:pPr>
              <w:widowControl w:val="0"/>
              <w:spacing w:after="0" w:line="240" w:lineRule="auto"/>
              <w:rPr>
                <w:rFonts w:cs="Times New Roman"/>
                <w:b/>
                <w:color w:val="000000" w:themeColor="text1"/>
                <w:szCs w:val="24"/>
              </w:rPr>
            </w:pPr>
            <w:r w:rsidRPr="007F0967">
              <w:rPr>
                <w:rFonts w:cs="Times New Roman"/>
                <w:b/>
                <w:color w:val="000000" w:themeColor="text1"/>
                <w:szCs w:val="24"/>
              </w:rPr>
              <w:t>Administración de Proyectos</w:t>
            </w:r>
          </w:p>
        </w:tc>
        <w:tc>
          <w:tcPr>
            <w:tcW w:w="6315" w:type="dxa"/>
            <w:shd w:val="clear" w:color="auto" w:fill="auto"/>
            <w:tcMar>
              <w:top w:w="100" w:type="dxa"/>
              <w:left w:w="100" w:type="dxa"/>
              <w:bottom w:w="100" w:type="dxa"/>
              <w:right w:w="100" w:type="dxa"/>
            </w:tcMar>
          </w:tcPr>
          <w:p w14:paraId="600FC936" w14:textId="1F3B67BE" w:rsidR="00D6431B" w:rsidRPr="007F0967" w:rsidRDefault="00D6431B" w:rsidP="007A4368">
            <w:pPr>
              <w:widowControl w:val="0"/>
              <w:spacing w:after="0" w:line="240" w:lineRule="auto"/>
              <w:rPr>
                <w:rFonts w:cs="Times New Roman"/>
                <w:bCs/>
                <w:color w:val="000000" w:themeColor="text1"/>
                <w:szCs w:val="24"/>
              </w:rPr>
            </w:pPr>
            <w:r w:rsidRPr="007F0967">
              <w:rPr>
                <w:rFonts w:cs="Times New Roman"/>
                <w:bCs/>
                <w:color w:val="000000" w:themeColor="text1"/>
                <w:szCs w:val="24"/>
              </w:rPr>
              <w:t>Susana Marceleño Flores</w:t>
            </w:r>
          </w:p>
        </w:tc>
      </w:tr>
      <w:tr w:rsidR="007F0967" w:rsidRPr="007F0967" w14:paraId="217FAB0A" w14:textId="77777777" w:rsidTr="004F4C7C">
        <w:trPr>
          <w:jc w:val="center"/>
        </w:trPr>
        <w:tc>
          <w:tcPr>
            <w:tcW w:w="3045" w:type="dxa"/>
            <w:shd w:val="clear" w:color="auto" w:fill="auto"/>
            <w:tcMar>
              <w:top w:w="100" w:type="dxa"/>
              <w:left w:w="100" w:type="dxa"/>
              <w:bottom w:w="100" w:type="dxa"/>
              <w:right w:w="100" w:type="dxa"/>
            </w:tcMar>
          </w:tcPr>
          <w:p w14:paraId="1B579500" w14:textId="77777777" w:rsidR="00D6431B" w:rsidRPr="007F0967" w:rsidRDefault="00D6431B" w:rsidP="007A4368">
            <w:pPr>
              <w:widowControl w:val="0"/>
              <w:spacing w:after="0" w:line="240" w:lineRule="auto"/>
              <w:rPr>
                <w:rFonts w:cs="Times New Roman"/>
                <w:b/>
                <w:color w:val="000000" w:themeColor="text1"/>
                <w:szCs w:val="24"/>
              </w:rPr>
            </w:pPr>
            <w:r w:rsidRPr="007F0967">
              <w:rPr>
                <w:rFonts w:cs="Times New Roman"/>
                <w:b/>
                <w:color w:val="000000" w:themeColor="text1"/>
                <w:szCs w:val="24"/>
              </w:rPr>
              <w:t>Adquisición de fondos</w:t>
            </w:r>
          </w:p>
        </w:tc>
        <w:tc>
          <w:tcPr>
            <w:tcW w:w="6315" w:type="dxa"/>
            <w:shd w:val="clear" w:color="auto" w:fill="auto"/>
            <w:tcMar>
              <w:top w:w="100" w:type="dxa"/>
              <w:left w:w="100" w:type="dxa"/>
              <w:bottom w:w="100" w:type="dxa"/>
              <w:right w:w="100" w:type="dxa"/>
            </w:tcMar>
          </w:tcPr>
          <w:p w14:paraId="09FBF200" w14:textId="52F46382" w:rsidR="00D6431B" w:rsidRPr="007F0967" w:rsidRDefault="00D6431B" w:rsidP="007A4368">
            <w:pPr>
              <w:widowControl w:val="0"/>
              <w:spacing w:after="0" w:line="240" w:lineRule="auto"/>
              <w:rPr>
                <w:rFonts w:cs="Times New Roman"/>
                <w:bCs/>
                <w:color w:val="000000" w:themeColor="text1"/>
                <w:szCs w:val="24"/>
              </w:rPr>
            </w:pPr>
            <w:r w:rsidRPr="007F0967">
              <w:rPr>
                <w:rFonts w:cs="Times New Roman"/>
                <w:bCs/>
                <w:color w:val="000000" w:themeColor="text1"/>
                <w:szCs w:val="24"/>
              </w:rPr>
              <w:t>Universidad Autónoma de Na</w:t>
            </w:r>
            <w:bookmarkStart w:id="1" w:name="_GoBack"/>
            <w:bookmarkEnd w:id="1"/>
            <w:r w:rsidRPr="007F0967">
              <w:rPr>
                <w:rFonts w:cs="Times New Roman"/>
                <w:bCs/>
                <w:color w:val="000000" w:themeColor="text1"/>
                <w:szCs w:val="24"/>
              </w:rPr>
              <w:t>yarit</w:t>
            </w:r>
          </w:p>
        </w:tc>
      </w:tr>
    </w:tbl>
    <w:p w14:paraId="1D1CBCD5" w14:textId="77777777" w:rsidR="00D6431B" w:rsidRDefault="00D6431B" w:rsidP="007A4368">
      <w:pPr>
        <w:spacing w:after="0"/>
        <w:ind w:left="709" w:hanging="709"/>
      </w:pPr>
    </w:p>
    <w:p w14:paraId="4AB890B9" w14:textId="0C0AD2D9" w:rsidR="007936FB" w:rsidRPr="00D100CF" w:rsidRDefault="007936FB" w:rsidP="007A4368">
      <w:pPr>
        <w:spacing w:after="0"/>
        <w:ind w:left="709" w:hanging="709"/>
        <w:rPr>
          <w:b/>
        </w:rPr>
      </w:pPr>
    </w:p>
    <w:sectPr w:rsidR="007936FB" w:rsidRPr="00D100CF" w:rsidSect="007F0967">
      <w:headerReference w:type="default" r:id="rId13"/>
      <w:footerReference w:type="default" r:id="rId14"/>
      <w:pgSz w:w="12240" w:h="15840"/>
      <w:pgMar w:top="1276" w:right="1418" w:bottom="1276"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077ABD" w14:textId="77777777" w:rsidR="009424BE" w:rsidRDefault="009424BE">
      <w:pPr>
        <w:spacing w:after="0" w:line="240" w:lineRule="auto"/>
      </w:pPr>
      <w:r>
        <w:separator/>
      </w:r>
    </w:p>
  </w:endnote>
  <w:endnote w:type="continuationSeparator" w:id="0">
    <w:p w14:paraId="3099712A" w14:textId="77777777" w:rsidR="009424BE" w:rsidRDefault="00942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6B664" w14:textId="49BCD170" w:rsidR="007936FB" w:rsidRDefault="007936FB">
    <w:r>
      <w:t xml:space="preserve">        </w:t>
    </w:r>
    <w:r>
      <w:rPr>
        <w:noProof/>
      </w:rPr>
      <w:drawing>
        <wp:inline distT="0" distB="0" distL="0" distR="0" wp14:anchorId="226865C7" wp14:editId="1A154109">
          <wp:extent cx="1600200" cy="419100"/>
          <wp:effectExtent l="0" t="0" r="0" b="0"/>
          <wp:docPr id="60" name="Imagen 60"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C06A5">
      <w:rPr>
        <w:rFonts w:asciiTheme="minorHAnsi" w:hAnsiTheme="minorHAnsi" w:cstheme="minorHAnsi"/>
        <w:b/>
        <w:sz w:val="22"/>
      </w:rPr>
      <w:t>Vol. 8, Núm. 16                   Julio - Diciembre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D1CE3" w14:textId="77777777" w:rsidR="009424BE" w:rsidRDefault="009424BE">
      <w:pPr>
        <w:spacing w:after="0" w:line="240" w:lineRule="auto"/>
      </w:pPr>
      <w:r>
        <w:separator/>
      </w:r>
    </w:p>
  </w:footnote>
  <w:footnote w:type="continuationSeparator" w:id="0">
    <w:p w14:paraId="7BDAE6DA" w14:textId="77777777" w:rsidR="009424BE" w:rsidRDefault="009424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82256" w14:textId="0BBE959B" w:rsidR="007936FB" w:rsidRDefault="007936FB" w:rsidP="007936FB">
    <w:pPr>
      <w:jc w:val="center"/>
    </w:pPr>
    <w:r>
      <w:rPr>
        <w:noProof/>
      </w:rPr>
      <w:drawing>
        <wp:inline distT="0" distB="0" distL="0" distR="0" wp14:anchorId="297E0499" wp14:editId="62831847">
          <wp:extent cx="5610225" cy="676275"/>
          <wp:effectExtent l="0" t="0" r="0" b="9525"/>
          <wp:docPr id="5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1FFD"/>
    <w:rsid w:val="00025C59"/>
    <w:rsid w:val="00063788"/>
    <w:rsid w:val="001A72AF"/>
    <w:rsid w:val="001D069F"/>
    <w:rsid w:val="002F6F0D"/>
    <w:rsid w:val="00313F4B"/>
    <w:rsid w:val="00323DC6"/>
    <w:rsid w:val="003669FE"/>
    <w:rsid w:val="00404708"/>
    <w:rsid w:val="00457912"/>
    <w:rsid w:val="00472361"/>
    <w:rsid w:val="004C06A5"/>
    <w:rsid w:val="004C5530"/>
    <w:rsid w:val="004E3885"/>
    <w:rsid w:val="004E7C1B"/>
    <w:rsid w:val="004F4C7C"/>
    <w:rsid w:val="0051476A"/>
    <w:rsid w:val="00537DF8"/>
    <w:rsid w:val="005D68D0"/>
    <w:rsid w:val="006F69CB"/>
    <w:rsid w:val="007936FB"/>
    <w:rsid w:val="007A4368"/>
    <w:rsid w:val="007F0967"/>
    <w:rsid w:val="007F64A1"/>
    <w:rsid w:val="0088584B"/>
    <w:rsid w:val="00894C78"/>
    <w:rsid w:val="008D154C"/>
    <w:rsid w:val="009424BE"/>
    <w:rsid w:val="00951982"/>
    <w:rsid w:val="0096613D"/>
    <w:rsid w:val="00966B51"/>
    <w:rsid w:val="00A21553"/>
    <w:rsid w:val="00A50A2F"/>
    <w:rsid w:val="00A602BA"/>
    <w:rsid w:val="00C71FFD"/>
    <w:rsid w:val="00C958E8"/>
    <w:rsid w:val="00CC30AC"/>
    <w:rsid w:val="00D058C4"/>
    <w:rsid w:val="00D6431B"/>
    <w:rsid w:val="00D943F1"/>
    <w:rsid w:val="00EC6F6C"/>
    <w:rsid w:val="00F815DC"/>
    <w:rsid w:val="00FE56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97213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76A"/>
    <w:pPr>
      <w:spacing w:line="360" w:lineRule="auto"/>
      <w:jc w:val="both"/>
    </w:pPr>
    <w:rPr>
      <w:rFonts w:ascii="Times New Roman" w:hAnsi="Times New Roman"/>
      <w:sz w:val="24"/>
    </w:rPr>
  </w:style>
  <w:style w:type="paragraph" w:styleId="Ttulo3">
    <w:name w:val="heading 3"/>
    <w:basedOn w:val="Normal"/>
    <w:next w:val="Normal"/>
    <w:link w:val="Ttulo3Car"/>
    <w:rsid w:val="00D6431B"/>
    <w:pPr>
      <w:pBdr>
        <w:top w:val="nil"/>
        <w:left w:val="nil"/>
        <w:bottom w:val="nil"/>
        <w:right w:val="nil"/>
        <w:between w:val="nil"/>
      </w:pBdr>
      <w:spacing w:before="200" w:after="0"/>
      <w:ind w:left="-15"/>
      <w:outlineLvl w:val="2"/>
    </w:pPr>
    <w:rPr>
      <w:rFonts w:ascii="Open Sans" w:eastAsia="Open Sans" w:hAnsi="Open Sans" w:cs="Open Sans"/>
      <w:b/>
      <w:color w:val="8C7252"/>
      <w:szCs w:val="24"/>
      <w:lang w:val="e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C71FF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71FFD"/>
    <w:rPr>
      <w:rFonts w:ascii="Tahoma" w:hAnsi="Tahoma" w:cs="Tahoma"/>
      <w:sz w:val="16"/>
      <w:szCs w:val="16"/>
    </w:rPr>
  </w:style>
  <w:style w:type="paragraph" w:styleId="Revisin">
    <w:name w:val="Revision"/>
    <w:hidden/>
    <w:uiPriority w:val="99"/>
    <w:semiHidden/>
    <w:rsid w:val="00C71FFD"/>
    <w:pPr>
      <w:spacing w:after="0" w:line="240" w:lineRule="auto"/>
    </w:pPr>
  </w:style>
  <w:style w:type="paragraph" w:styleId="Textonotapie">
    <w:name w:val="footnote text"/>
    <w:basedOn w:val="Normal"/>
    <w:link w:val="TextonotapieCar"/>
    <w:uiPriority w:val="99"/>
    <w:unhideWhenUsed/>
    <w:rsid w:val="00894C78"/>
    <w:pPr>
      <w:spacing w:after="0" w:line="240" w:lineRule="auto"/>
    </w:pPr>
    <w:rPr>
      <w:sz w:val="20"/>
      <w:szCs w:val="20"/>
    </w:rPr>
  </w:style>
  <w:style w:type="character" w:customStyle="1" w:styleId="TextonotapieCar">
    <w:name w:val="Texto nota pie Car"/>
    <w:basedOn w:val="Fuentedeprrafopredeter"/>
    <w:link w:val="Textonotapie"/>
    <w:uiPriority w:val="99"/>
    <w:rsid w:val="00894C78"/>
    <w:rPr>
      <w:sz w:val="20"/>
      <w:szCs w:val="20"/>
    </w:rPr>
  </w:style>
  <w:style w:type="character" w:styleId="Refdenotaalpie">
    <w:name w:val="footnote reference"/>
    <w:basedOn w:val="Fuentedeprrafopredeter"/>
    <w:uiPriority w:val="99"/>
    <w:semiHidden/>
    <w:unhideWhenUsed/>
    <w:rsid w:val="00894C78"/>
    <w:rPr>
      <w:vertAlign w:val="superscript"/>
    </w:rPr>
  </w:style>
  <w:style w:type="character" w:styleId="Hipervnculo">
    <w:name w:val="Hyperlink"/>
    <w:basedOn w:val="Fuentedeprrafopredeter"/>
    <w:uiPriority w:val="99"/>
    <w:unhideWhenUsed/>
    <w:rsid w:val="005D68D0"/>
    <w:rPr>
      <w:color w:val="0000FF" w:themeColor="hyperlink"/>
      <w:u w:val="single"/>
    </w:rPr>
  </w:style>
  <w:style w:type="character" w:customStyle="1" w:styleId="Ttulo3Car">
    <w:name w:val="Título 3 Car"/>
    <w:basedOn w:val="Fuentedeprrafopredeter"/>
    <w:link w:val="Ttulo3"/>
    <w:rsid w:val="00D6431B"/>
    <w:rPr>
      <w:rFonts w:ascii="Open Sans" w:eastAsia="Open Sans" w:hAnsi="Open Sans" w:cs="Open Sans"/>
      <w:b/>
      <w:color w:val="8C7252"/>
      <w:sz w:val="24"/>
      <w:szCs w:val="24"/>
      <w:lang w:val="en"/>
    </w:rPr>
  </w:style>
  <w:style w:type="table" w:styleId="Listavistosa-nfasis6">
    <w:name w:val="Colorful List Accent 6"/>
    <w:basedOn w:val="Tablanormal"/>
    <w:uiPriority w:val="72"/>
    <w:rsid w:val="004E3885"/>
    <w:pPr>
      <w:spacing w:after="0" w:line="240" w:lineRule="auto"/>
    </w:pPr>
    <w:rPr>
      <w:rFonts w:eastAsiaTheme="minorHAnsi"/>
      <w:color w:val="000000" w:themeColor="text1"/>
      <w:lang w:eastAsia="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Tablaconcuadrcula">
    <w:name w:val="Table Grid"/>
    <w:basedOn w:val="Tablanormal"/>
    <w:uiPriority w:val="59"/>
    <w:rsid w:val="00D943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C06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C06A5"/>
    <w:rPr>
      <w:rFonts w:ascii="Times New Roman" w:hAnsi="Times New Roman"/>
      <w:sz w:val="24"/>
    </w:rPr>
  </w:style>
  <w:style w:type="paragraph" w:styleId="Piedepgina">
    <w:name w:val="footer"/>
    <w:basedOn w:val="Normal"/>
    <w:link w:val="PiedepginaCar"/>
    <w:uiPriority w:val="99"/>
    <w:unhideWhenUsed/>
    <w:rsid w:val="004C06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C06A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rcid.org/0000-0001-6067-4013" TargetMode="External"/><Relationship Id="rId12"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orcid.org/0000-0001-6067-4013"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24</Pages>
  <Words>6709</Words>
  <Characters>36904</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Rebeca de Haro Mota</dc:creator>
  <cp:keywords>UAN</cp:keywords>
  <cp:lastModifiedBy>elsom</cp:lastModifiedBy>
  <cp:revision>9</cp:revision>
  <dcterms:created xsi:type="dcterms:W3CDTF">2019-08-13T19:32:00Z</dcterms:created>
  <dcterms:modified xsi:type="dcterms:W3CDTF">2020-03-25T17:27:00Z</dcterms:modified>
</cp:coreProperties>
</file>